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80" w:rsidRPr="00360D46" w:rsidRDefault="00C46E80" w:rsidP="007934FD">
      <w:pPr>
        <w:pStyle w:val="BodyText"/>
        <w:spacing w:line="276" w:lineRule="auto"/>
        <w:rPr>
          <w:rFonts w:ascii="Calibri" w:hAnsi="Calibri" w:cs="Calibri"/>
          <w:sz w:val="22"/>
          <w:szCs w:val="22"/>
          <w:u w:val="single"/>
        </w:rPr>
      </w:pPr>
      <w:r w:rsidRPr="00360D46">
        <w:rPr>
          <w:rFonts w:ascii="Calibri" w:hAnsi="Calibri" w:cs="Calibri"/>
          <w:sz w:val="22"/>
          <w:szCs w:val="22"/>
          <w:u w:val="single"/>
        </w:rPr>
        <w:t>INVESTIGATION AND MANAGEMENT OF AMIODARONE-ASSOCIATED THYROID DISEASE</w:t>
      </w:r>
    </w:p>
    <w:p w:rsidR="00C46E80" w:rsidRPr="00360D46" w:rsidRDefault="00C46E80" w:rsidP="007934FD">
      <w:pPr>
        <w:spacing w:line="276" w:lineRule="auto"/>
        <w:jc w:val="center"/>
        <w:rPr>
          <w:rFonts w:ascii="Calibri" w:hAnsi="Calibri" w:cs="Calibri"/>
          <w:sz w:val="22"/>
        </w:rPr>
      </w:pPr>
    </w:p>
    <w:p w:rsidR="00C46E80" w:rsidRPr="00360D46" w:rsidRDefault="00C46E80" w:rsidP="007934FD">
      <w:pPr>
        <w:pStyle w:val="Heading1"/>
        <w:spacing w:line="276" w:lineRule="auto"/>
        <w:rPr>
          <w:rFonts w:ascii="Calibri" w:hAnsi="Calibri" w:cs="Calibri"/>
          <w:sz w:val="22"/>
        </w:rPr>
      </w:pPr>
      <w:r w:rsidRPr="00360D46">
        <w:rPr>
          <w:rFonts w:ascii="Calibri" w:hAnsi="Calibri" w:cs="Calibri"/>
          <w:sz w:val="22"/>
        </w:rPr>
        <w:t>BACKGROUND</w:t>
      </w:r>
    </w:p>
    <w:p w:rsidR="00C46E80" w:rsidRPr="00360D46" w:rsidRDefault="00C46E80" w:rsidP="007934FD">
      <w:pPr>
        <w:pStyle w:val="BodyText2"/>
        <w:spacing w:line="276" w:lineRule="auto"/>
        <w:rPr>
          <w:rFonts w:ascii="Calibri" w:hAnsi="Calibri" w:cs="Calibri"/>
          <w:sz w:val="22"/>
        </w:rPr>
      </w:pPr>
      <w:r w:rsidRPr="00360D46">
        <w:rPr>
          <w:rFonts w:ascii="Calibri" w:hAnsi="Calibri" w:cs="Calibri"/>
          <w:sz w:val="22"/>
        </w:rPr>
        <w:t>The recommended daily intake of iodine is approximately 0.2mg/day.  A maintenance dose of 200-600mg amiodarone a day will provide 7-21 mg iodide/day.  The associated increase in the iodine pool changes thyroid hormone dynamics, although this is not always accompanied by overt thyroid dysfunction.</w:t>
      </w:r>
    </w:p>
    <w:p w:rsidR="00C46E80" w:rsidRPr="00360D46" w:rsidRDefault="00C46E80" w:rsidP="007934FD">
      <w:pPr>
        <w:spacing w:line="276" w:lineRule="auto"/>
        <w:jc w:val="both"/>
        <w:rPr>
          <w:rFonts w:ascii="Calibri" w:hAnsi="Calibri" w:cs="Calibri"/>
          <w:sz w:val="22"/>
        </w:rPr>
      </w:pPr>
    </w:p>
    <w:p w:rsidR="00C46E80" w:rsidRPr="00360D46" w:rsidRDefault="00C46E80" w:rsidP="007934FD">
      <w:pPr>
        <w:pStyle w:val="Heading1"/>
        <w:spacing w:line="276" w:lineRule="auto"/>
        <w:rPr>
          <w:rFonts w:ascii="Calibri" w:hAnsi="Calibri" w:cs="Calibri"/>
          <w:sz w:val="22"/>
        </w:rPr>
      </w:pPr>
      <w:r w:rsidRPr="00360D46">
        <w:rPr>
          <w:rFonts w:ascii="Calibri" w:hAnsi="Calibri" w:cs="Calibri"/>
          <w:caps/>
          <w:sz w:val="22"/>
        </w:rPr>
        <w:t>Effects of amiodarone on thyroid physiology</w:t>
      </w:r>
    </w:p>
    <w:p w:rsidR="00C46E80" w:rsidRPr="00360D46" w:rsidRDefault="00C46E80" w:rsidP="007934FD">
      <w:pPr>
        <w:numPr>
          <w:ilvl w:val="0"/>
          <w:numId w:val="15"/>
        </w:numPr>
        <w:tabs>
          <w:tab w:val="clear" w:pos="720"/>
          <w:tab w:val="num" w:pos="426"/>
        </w:tabs>
        <w:spacing w:line="276" w:lineRule="auto"/>
        <w:ind w:left="426" w:hanging="426"/>
        <w:jc w:val="both"/>
        <w:rPr>
          <w:rFonts w:ascii="Calibri" w:hAnsi="Calibri" w:cs="Calibri"/>
          <w:sz w:val="22"/>
        </w:rPr>
      </w:pPr>
      <w:r w:rsidRPr="00360D46">
        <w:rPr>
          <w:rFonts w:ascii="Calibri" w:hAnsi="Calibri" w:cs="Calibri"/>
          <w:sz w:val="22"/>
        </w:rPr>
        <w:t>&gt;50% patients on long-term amiodarone have abnormal TFTs</w:t>
      </w:r>
    </w:p>
    <w:p w:rsidR="00C46E80" w:rsidRPr="00360D46" w:rsidRDefault="00C46E80" w:rsidP="007934FD">
      <w:pPr>
        <w:numPr>
          <w:ilvl w:val="0"/>
          <w:numId w:val="15"/>
        </w:numPr>
        <w:tabs>
          <w:tab w:val="clear" w:pos="720"/>
          <w:tab w:val="num" w:pos="426"/>
        </w:tabs>
        <w:spacing w:line="276" w:lineRule="auto"/>
        <w:ind w:left="426" w:hanging="426"/>
        <w:jc w:val="both"/>
        <w:rPr>
          <w:rFonts w:ascii="Calibri" w:hAnsi="Calibri" w:cs="Calibri"/>
          <w:sz w:val="22"/>
        </w:rPr>
      </w:pPr>
      <w:r w:rsidRPr="00360D46">
        <w:rPr>
          <w:rFonts w:ascii="Calibri" w:hAnsi="Calibri" w:cs="Calibri"/>
          <w:sz w:val="22"/>
        </w:rPr>
        <w:t xml:space="preserve">Inhibition of type 1 deiodinase enzyme </w:t>
      </w:r>
      <w:r w:rsidR="00213D59" w:rsidRPr="00360D46">
        <w:rPr>
          <w:rFonts w:ascii="Calibri" w:hAnsi="Calibri" w:cs="Calibri"/>
          <w:sz w:val="22"/>
        </w:rPr>
        <w:t>reduces</w:t>
      </w:r>
      <w:r w:rsidRPr="00360D46">
        <w:rPr>
          <w:rFonts w:ascii="Calibri" w:hAnsi="Calibri" w:cs="Calibri"/>
          <w:sz w:val="22"/>
        </w:rPr>
        <w:t xml:space="preserve"> peripheral conversion of T4 to T3.  </w:t>
      </w:r>
    </w:p>
    <w:p w:rsidR="00C46E80" w:rsidRPr="00360D46" w:rsidRDefault="00C46E80" w:rsidP="007934FD">
      <w:pPr>
        <w:numPr>
          <w:ilvl w:val="0"/>
          <w:numId w:val="15"/>
        </w:numPr>
        <w:tabs>
          <w:tab w:val="clear" w:pos="720"/>
          <w:tab w:val="num" w:pos="426"/>
        </w:tabs>
        <w:spacing w:line="276" w:lineRule="auto"/>
        <w:ind w:left="426" w:hanging="426"/>
        <w:jc w:val="both"/>
        <w:rPr>
          <w:rFonts w:ascii="Calibri" w:hAnsi="Calibri" w:cs="Calibri"/>
          <w:sz w:val="22"/>
        </w:rPr>
      </w:pPr>
      <w:r w:rsidRPr="00360D46">
        <w:rPr>
          <w:rFonts w:ascii="Calibri" w:hAnsi="Calibri" w:cs="Calibri"/>
          <w:sz w:val="22"/>
        </w:rPr>
        <w:t xml:space="preserve">Entry of </w:t>
      </w:r>
      <w:r w:rsidRPr="00360D46">
        <w:rPr>
          <w:rFonts w:ascii="Calibri" w:hAnsi="Calibri" w:cs="Calibri"/>
          <w:noProof/>
          <w:sz w:val="22"/>
          <w:lang w:eastAsia="en-GB"/>
        </w:rPr>
        <w:t>T3 and T4 into peripheral tissues is inhibited.</w:t>
      </w:r>
    </w:p>
    <w:p w:rsidR="00C46E80" w:rsidRPr="00360D46" w:rsidRDefault="00C46E80" w:rsidP="007934FD">
      <w:pPr>
        <w:numPr>
          <w:ilvl w:val="0"/>
          <w:numId w:val="15"/>
        </w:numPr>
        <w:tabs>
          <w:tab w:val="clear" w:pos="720"/>
          <w:tab w:val="num" w:pos="426"/>
        </w:tabs>
        <w:spacing w:line="276" w:lineRule="auto"/>
        <w:ind w:left="426" w:hanging="426"/>
        <w:jc w:val="both"/>
        <w:rPr>
          <w:rFonts w:ascii="Calibri" w:hAnsi="Calibri" w:cs="Calibri"/>
          <w:sz w:val="22"/>
        </w:rPr>
      </w:pPr>
      <w:r w:rsidRPr="00360D46">
        <w:rPr>
          <w:rFonts w:ascii="Calibri" w:hAnsi="Calibri" w:cs="Calibri"/>
          <w:noProof/>
          <w:sz w:val="22"/>
          <w:lang w:eastAsia="en-GB"/>
        </w:rPr>
        <w:t xml:space="preserve">These effects result in a rise in </w:t>
      </w:r>
      <w:r w:rsidRPr="00360D46">
        <w:rPr>
          <w:rFonts w:ascii="Calibri" w:hAnsi="Calibri" w:cs="Calibri"/>
          <w:sz w:val="22"/>
        </w:rPr>
        <w:t>FT4 and a fall in TT3.</w:t>
      </w:r>
    </w:p>
    <w:p w:rsidR="00C46E80" w:rsidRPr="00360D46" w:rsidRDefault="00C46E80" w:rsidP="007934FD">
      <w:pPr>
        <w:numPr>
          <w:ilvl w:val="0"/>
          <w:numId w:val="15"/>
        </w:numPr>
        <w:tabs>
          <w:tab w:val="clear" w:pos="720"/>
          <w:tab w:val="num" w:pos="426"/>
        </w:tabs>
        <w:spacing w:line="276" w:lineRule="auto"/>
        <w:ind w:left="426" w:hanging="426"/>
        <w:jc w:val="both"/>
        <w:rPr>
          <w:rFonts w:ascii="Calibri" w:hAnsi="Calibri" w:cs="Calibri"/>
          <w:sz w:val="22"/>
        </w:rPr>
      </w:pPr>
      <w:r w:rsidRPr="00360D46">
        <w:rPr>
          <w:rFonts w:ascii="Calibri" w:hAnsi="Calibri" w:cs="Calibri"/>
          <w:sz w:val="22"/>
        </w:rPr>
        <w:t>TSH rises in the first 3 months of amiodarone treatment (due to inhibition of T4→T3 conversion in the pituitary) but TSH often normalises after 3 months.</w:t>
      </w:r>
    </w:p>
    <w:p w:rsidR="00C46E80" w:rsidRPr="00360D46" w:rsidRDefault="00C46E80" w:rsidP="007934FD">
      <w:pPr>
        <w:spacing w:line="276" w:lineRule="auto"/>
        <w:jc w:val="both"/>
        <w:rPr>
          <w:rFonts w:ascii="Calibri" w:hAnsi="Calibri" w:cs="Calibri"/>
          <w:sz w:val="22"/>
          <w:szCs w:val="16"/>
        </w:rPr>
      </w:pPr>
    </w:p>
    <w:p w:rsidR="00C46E80" w:rsidRPr="00360D46" w:rsidRDefault="00C46E80" w:rsidP="007934FD">
      <w:pPr>
        <w:pStyle w:val="Heading1"/>
        <w:spacing w:line="276" w:lineRule="auto"/>
        <w:rPr>
          <w:rFonts w:ascii="Calibri" w:hAnsi="Calibri" w:cs="Calibri"/>
          <w:sz w:val="22"/>
        </w:rPr>
      </w:pPr>
      <w:r w:rsidRPr="00360D46">
        <w:rPr>
          <w:rFonts w:ascii="Calibri" w:hAnsi="Calibri" w:cs="Calibri"/>
          <w:sz w:val="22"/>
        </w:rPr>
        <w:t>IODINE AND AUTOREGULATION OF THYROID FUNCTION</w:t>
      </w:r>
    </w:p>
    <w:p w:rsidR="00C46E80" w:rsidRPr="00360D46" w:rsidRDefault="00213D59" w:rsidP="007934FD">
      <w:pPr>
        <w:numPr>
          <w:ilvl w:val="0"/>
          <w:numId w:val="18"/>
        </w:numPr>
        <w:spacing w:line="276" w:lineRule="auto"/>
        <w:ind w:left="360"/>
        <w:jc w:val="both"/>
        <w:rPr>
          <w:rFonts w:ascii="Calibri" w:hAnsi="Calibri" w:cs="Calibri"/>
          <w:sz w:val="22"/>
        </w:rPr>
      </w:pPr>
      <w:r w:rsidRPr="00360D46">
        <w:rPr>
          <w:rFonts w:ascii="Calibri" w:hAnsi="Calibri" w:cs="Calibri"/>
          <w:sz w:val="22"/>
        </w:rPr>
        <w:t>E</w:t>
      </w:r>
      <w:r w:rsidR="00C46E80" w:rsidRPr="00360D46">
        <w:rPr>
          <w:rFonts w:ascii="Calibri" w:hAnsi="Calibri" w:cs="Calibri"/>
          <w:sz w:val="22"/>
        </w:rPr>
        <w:t>xpansion of the iodine pool causes an autoregulatory decrease in iodine transport and decreased thyroid hormone synthesis to protect against a surge in iodine-driven thyroid hormone synthesis.  This protective mechanism is known as the Wolff Chaikoff effect.</w:t>
      </w:r>
    </w:p>
    <w:p w:rsidR="00C46E80" w:rsidRPr="00360D46" w:rsidRDefault="00C46E80" w:rsidP="007934FD">
      <w:pPr>
        <w:numPr>
          <w:ilvl w:val="0"/>
          <w:numId w:val="18"/>
        </w:numPr>
        <w:spacing w:line="276" w:lineRule="auto"/>
        <w:ind w:left="360"/>
        <w:jc w:val="both"/>
        <w:rPr>
          <w:rFonts w:ascii="Calibri" w:hAnsi="Calibri" w:cs="Calibri"/>
          <w:sz w:val="22"/>
        </w:rPr>
      </w:pPr>
      <w:r w:rsidRPr="00360D46">
        <w:rPr>
          <w:rFonts w:ascii="Calibri" w:hAnsi="Calibri" w:cs="Calibri"/>
          <w:sz w:val="22"/>
        </w:rPr>
        <w:t>Failure to escape the Wolff Chaikoff effect leads to hypothyroidism.</w:t>
      </w:r>
    </w:p>
    <w:p w:rsidR="00C46E80" w:rsidRPr="00360D46" w:rsidRDefault="00C46E80" w:rsidP="007934FD">
      <w:pPr>
        <w:numPr>
          <w:ilvl w:val="0"/>
          <w:numId w:val="18"/>
        </w:numPr>
        <w:spacing w:line="276" w:lineRule="auto"/>
        <w:ind w:left="360"/>
        <w:jc w:val="both"/>
        <w:rPr>
          <w:rFonts w:ascii="Calibri" w:hAnsi="Calibri" w:cs="Calibri"/>
          <w:sz w:val="22"/>
        </w:rPr>
      </w:pPr>
      <w:r w:rsidRPr="00360D46">
        <w:rPr>
          <w:rFonts w:ascii="Calibri" w:hAnsi="Calibri" w:cs="Calibri"/>
          <w:sz w:val="22"/>
        </w:rPr>
        <w:t>If these autoregulatory effects are absent or defective, the thyroid is not buffered from the effects of excessive iodine.  Iodine-driven thyrotoxicosis in a previously normal gland is known as the Jod Basedow effect (Jod being the German word for iodine).</w:t>
      </w:r>
    </w:p>
    <w:p w:rsidR="00C46E80" w:rsidRPr="00360D46" w:rsidRDefault="00C46E80" w:rsidP="007934FD">
      <w:pPr>
        <w:numPr>
          <w:ilvl w:val="0"/>
          <w:numId w:val="18"/>
        </w:numPr>
        <w:spacing w:line="276" w:lineRule="auto"/>
        <w:ind w:left="360"/>
        <w:jc w:val="both"/>
        <w:rPr>
          <w:rFonts w:ascii="Calibri" w:hAnsi="Calibri" w:cs="Calibri"/>
          <w:sz w:val="22"/>
        </w:rPr>
      </w:pPr>
      <w:r w:rsidRPr="00360D46">
        <w:rPr>
          <w:rFonts w:ascii="Calibri" w:hAnsi="Calibri" w:cs="Calibri"/>
          <w:sz w:val="22"/>
        </w:rPr>
        <w:t xml:space="preserve">This explains how an increased iodine load can result in </w:t>
      </w:r>
      <w:r w:rsidR="00213D59" w:rsidRPr="00360D46">
        <w:rPr>
          <w:rFonts w:ascii="Calibri" w:hAnsi="Calibri" w:cs="Calibri"/>
          <w:sz w:val="22"/>
        </w:rPr>
        <w:t>either</w:t>
      </w:r>
      <w:r w:rsidRPr="00360D46">
        <w:rPr>
          <w:rFonts w:ascii="Calibri" w:hAnsi="Calibri" w:cs="Calibri"/>
          <w:sz w:val="22"/>
        </w:rPr>
        <w:t xml:space="preserve"> hypo- </w:t>
      </w:r>
      <w:r w:rsidR="00213D59" w:rsidRPr="00360D46">
        <w:rPr>
          <w:rFonts w:ascii="Calibri" w:hAnsi="Calibri" w:cs="Calibri"/>
          <w:sz w:val="22"/>
        </w:rPr>
        <w:t>or</w:t>
      </w:r>
      <w:r w:rsidRPr="00360D46">
        <w:rPr>
          <w:rFonts w:ascii="Calibri" w:hAnsi="Calibri" w:cs="Calibri"/>
          <w:sz w:val="22"/>
        </w:rPr>
        <w:t xml:space="preserve"> hyperthyroidism</w:t>
      </w:r>
    </w:p>
    <w:p w:rsidR="00C46E80" w:rsidRPr="00360D46" w:rsidRDefault="00C46E80" w:rsidP="007934FD">
      <w:pPr>
        <w:spacing w:line="276" w:lineRule="auto"/>
        <w:jc w:val="both"/>
        <w:rPr>
          <w:rFonts w:ascii="Calibri" w:hAnsi="Calibri" w:cs="Calibri"/>
          <w:sz w:val="22"/>
        </w:rPr>
      </w:pPr>
    </w:p>
    <w:p w:rsidR="00C46E80" w:rsidRPr="00360D46" w:rsidRDefault="00C46E80" w:rsidP="007934FD">
      <w:pPr>
        <w:pStyle w:val="Heading1"/>
        <w:spacing w:line="276" w:lineRule="auto"/>
        <w:rPr>
          <w:rFonts w:ascii="Calibri" w:hAnsi="Calibri" w:cs="Calibri"/>
          <w:sz w:val="22"/>
          <w:szCs w:val="16"/>
        </w:rPr>
      </w:pPr>
      <w:r w:rsidRPr="00360D46">
        <w:rPr>
          <w:rFonts w:ascii="Calibri" w:hAnsi="Calibri" w:cs="Calibri"/>
          <w:sz w:val="22"/>
        </w:rPr>
        <w:t>AMIODARONE-ASSOCIATED THYROID DYSFUNCTION</w:t>
      </w:r>
    </w:p>
    <w:p w:rsidR="00C46E80" w:rsidRPr="00A172AD" w:rsidRDefault="00C46E80" w:rsidP="007934FD">
      <w:pPr>
        <w:numPr>
          <w:ilvl w:val="0"/>
          <w:numId w:val="15"/>
        </w:numPr>
        <w:tabs>
          <w:tab w:val="clear" w:pos="720"/>
          <w:tab w:val="num" w:pos="426"/>
        </w:tabs>
        <w:spacing w:line="276" w:lineRule="auto"/>
        <w:ind w:left="426" w:hanging="426"/>
        <w:jc w:val="both"/>
        <w:rPr>
          <w:rFonts w:ascii="Calibri" w:hAnsi="Calibri" w:cs="Calibri"/>
          <w:sz w:val="22"/>
        </w:rPr>
      </w:pPr>
      <w:r w:rsidRPr="00360D46">
        <w:rPr>
          <w:rFonts w:ascii="Calibri" w:hAnsi="Calibri" w:cs="Calibri"/>
          <w:sz w:val="22"/>
        </w:rPr>
        <w:t>Approximately 2%</w:t>
      </w:r>
      <w:r w:rsidR="00A172AD" w:rsidRPr="00360D46">
        <w:rPr>
          <w:rFonts w:ascii="Calibri" w:hAnsi="Calibri" w:cs="Calibri"/>
          <w:sz w:val="22"/>
        </w:rPr>
        <w:t xml:space="preserve"> (range 1-23%)</w:t>
      </w:r>
      <w:r w:rsidRPr="00360D46">
        <w:rPr>
          <w:rFonts w:ascii="Calibri" w:hAnsi="Calibri" w:cs="Calibri"/>
          <w:sz w:val="22"/>
        </w:rPr>
        <w:t xml:space="preserve"> patients taking amiodarone develop amiodarone-induced thyrotoxicosis (AIT</w:t>
      </w:r>
      <w:r w:rsidR="00A172AD" w:rsidRPr="00360D46">
        <w:rPr>
          <w:rFonts w:ascii="Calibri" w:hAnsi="Calibri" w:cs="Calibri"/>
          <w:sz w:val="22"/>
        </w:rPr>
        <w:t>)</w:t>
      </w:r>
      <w:r w:rsidRPr="00360D46">
        <w:rPr>
          <w:rFonts w:ascii="Calibri" w:hAnsi="Calibri" w:cs="Calibri"/>
          <w:sz w:val="22"/>
        </w:rPr>
        <w:t xml:space="preserve">. </w:t>
      </w:r>
      <w:r w:rsidR="00A172AD" w:rsidRPr="00A172AD">
        <w:rPr>
          <w:rFonts w:ascii="Calibri" w:hAnsi="Calibri" w:cs="Calibri"/>
          <w:sz w:val="22"/>
        </w:rPr>
        <w:t>AIT is more common in areas of low iodine intake.</w:t>
      </w:r>
    </w:p>
    <w:p w:rsidR="00C46E80" w:rsidRPr="00360D46" w:rsidRDefault="00C46E80" w:rsidP="007934FD">
      <w:pPr>
        <w:numPr>
          <w:ilvl w:val="0"/>
          <w:numId w:val="15"/>
        </w:numPr>
        <w:tabs>
          <w:tab w:val="clear" w:pos="720"/>
          <w:tab w:val="num" w:pos="426"/>
        </w:tabs>
        <w:spacing w:line="276" w:lineRule="auto"/>
        <w:ind w:left="426" w:hanging="426"/>
        <w:jc w:val="both"/>
        <w:rPr>
          <w:rFonts w:ascii="Calibri" w:hAnsi="Calibri" w:cs="Calibri"/>
          <w:sz w:val="22"/>
        </w:rPr>
      </w:pPr>
      <w:r w:rsidRPr="00360D46">
        <w:rPr>
          <w:rFonts w:ascii="Calibri" w:hAnsi="Calibri" w:cs="Calibri"/>
          <w:sz w:val="22"/>
        </w:rPr>
        <w:t xml:space="preserve">Approximately 13% </w:t>
      </w:r>
      <w:r w:rsidR="00A172AD" w:rsidRPr="00360D46">
        <w:rPr>
          <w:rFonts w:ascii="Calibri" w:hAnsi="Calibri" w:cs="Calibri"/>
          <w:sz w:val="22"/>
        </w:rPr>
        <w:t xml:space="preserve">(range 1-32%) </w:t>
      </w:r>
      <w:r w:rsidRPr="00360D46">
        <w:rPr>
          <w:rFonts w:ascii="Calibri" w:hAnsi="Calibri" w:cs="Calibri"/>
          <w:sz w:val="22"/>
        </w:rPr>
        <w:t>patients taking amiodarone develop amiodarone-induced hypothyroidism (AIH)</w:t>
      </w:r>
      <w:r w:rsidR="00A172AD" w:rsidRPr="00360D46">
        <w:rPr>
          <w:rFonts w:ascii="Calibri" w:hAnsi="Calibri" w:cs="Calibri"/>
          <w:sz w:val="22"/>
        </w:rPr>
        <w:t xml:space="preserve">. </w:t>
      </w:r>
      <w:r w:rsidRPr="00360D46">
        <w:rPr>
          <w:rFonts w:ascii="Calibri" w:hAnsi="Calibri" w:cs="Calibri"/>
          <w:sz w:val="22"/>
        </w:rPr>
        <w:t>AIH is more common in areas of high iodine intake.</w:t>
      </w:r>
    </w:p>
    <w:p w:rsidR="00A172AD" w:rsidRPr="00360D46" w:rsidRDefault="00A172AD" w:rsidP="007934FD">
      <w:pPr>
        <w:pStyle w:val="Heading1"/>
        <w:spacing w:line="276" w:lineRule="auto"/>
        <w:rPr>
          <w:rFonts w:ascii="Calibri" w:hAnsi="Calibri" w:cs="Calibri"/>
          <w:sz w:val="22"/>
          <w:u w:val="none"/>
        </w:rPr>
      </w:pPr>
    </w:p>
    <w:p w:rsidR="00C46E80" w:rsidRPr="00360D46" w:rsidRDefault="00C46E80" w:rsidP="007934FD">
      <w:pPr>
        <w:pStyle w:val="Heading1"/>
        <w:spacing w:line="276" w:lineRule="auto"/>
        <w:rPr>
          <w:rFonts w:ascii="Calibri" w:hAnsi="Calibri" w:cs="Calibri"/>
          <w:sz w:val="22"/>
        </w:rPr>
      </w:pPr>
      <w:r w:rsidRPr="00360D46">
        <w:rPr>
          <w:rFonts w:ascii="Calibri" w:hAnsi="Calibri" w:cs="Calibri"/>
          <w:sz w:val="22"/>
        </w:rPr>
        <w:t>AIH</w:t>
      </w:r>
    </w:p>
    <w:p w:rsidR="00C46E80" w:rsidRPr="00360D46" w:rsidRDefault="00C46E80" w:rsidP="007934FD">
      <w:pPr>
        <w:numPr>
          <w:ilvl w:val="0"/>
          <w:numId w:val="18"/>
        </w:numPr>
        <w:spacing w:line="276" w:lineRule="auto"/>
        <w:ind w:left="426" w:hanging="426"/>
        <w:jc w:val="both"/>
        <w:rPr>
          <w:rFonts w:ascii="Calibri" w:hAnsi="Calibri" w:cs="Calibri"/>
          <w:sz w:val="22"/>
        </w:rPr>
      </w:pPr>
      <w:r w:rsidRPr="00360D46">
        <w:rPr>
          <w:rFonts w:ascii="Calibri" w:hAnsi="Calibri" w:cs="Calibri"/>
          <w:sz w:val="22"/>
        </w:rPr>
        <w:t>May be caused by failure to escape the Wolff Chaikoff effect, but gender and thyroid antibodies are also implicated in the pathogenesis of AIH.</w:t>
      </w:r>
    </w:p>
    <w:p w:rsidR="00C46E80" w:rsidRPr="00360D46" w:rsidRDefault="00C46E80" w:rsidP="007934FD">
      <w:pPr>
        <w:numPr>
          <w:ilvl w:val="0"/>
          <w:numId w:val="18"/>
        </w:numPr>
        <w:spacing w:line="276" w:lineRule="auto"/>
        <w:ind w:left="426" w:hanging="426"/>
        <w:jc w:val="both"/>
        <w:rPr>
          <w:rFonts w:ascii="Calibri" w:hAnsi="Calibri" w:cs="Calibri"/>
          <w:sz w:val="22"/>
        </w:rPr>
      </w:pPr>
      <w:r w:rsidRPr="00360D46">
        <w:rPr>
          <w:rFonts w:ascii="Calibri" w:hAnsi="Calibri" w:cs="Calibri"/>
          <w:sz w:val="22"/>
        </w:rPr>
        <w:t>Women with pre-existing thyroid antibodies have a relative risk of developing AIH of 13.5 compared to antibody-negative men.</w:t>
      </w:r>
    </w:p>
    <w:p w:rsidR="00C46E80" w:rsidRPr="00360D46" w:rsidRDefault="00C46E80" w:rsidP="007934FD">
      <w:pPr>
        <w:numPr>
          <w:ilvl w:val="0"/>
          <w:numId w:val="18"/>
        </w:numPr>
        <w:spacing w:line="276" w:lineRule="auto"/>
        <w:ind w:left="426" w:hanging="426"/>
        <w:jc w:val="both"/>
        <w:rPr>
          <w:rFonts w:ascii="Calibri" w:hAnsi="Calibri" w:cs="Calibri"/>
          <w:sz w:val="22"/>
        </w:rPr>
      </w:pPr>
      <w:r w:rsidRPr="00360D46">
        <w:rPr>
          <w:rFonts w:ascii="Calibri" w:hAnsi="Calibri" w:cs="Calibri"/>
          <w:sz w:val="22"/>
        </w:rPr>
        <w:t>AIH may be transient or permanent</w:t>
      </w:r>
      <w:r w:rsidR="00A172AD" w:rsidRPr="00360D46">
        <w:rPr>
          <w:rFonts w:ascii="Calibri" w:hAnsi="Calibri" w:cs="Calibri"/>
          <w:sz w:val="22"/>
        </w:rPr>
        <w:t>. It rarely</w:t>
      </w:r>
      <w:r w:rsidRPr="00360D46">
        <w:rPr>
          <w:rFonts w:ascii="Calibri" w:hAnsi="Calibri" w:cs="Calibri"/>
          <w:sz w:val="22"/>
        </w:rPr>
        <w:t xml:space="preserve"> occur</w:t>
      </w:r>
      <w:r w:rsidR="00A172AD" w:rsidRPr="00360D46">
        <w:rPr>
          <w:rFonts w:ascii="Calibri" w:hAnsi="Calibri" w:cs="Calibri"/>
          <w:sz w:val="22"/>
        </w:rPr>
        <w:t>s</w:t>
      </w:r>
      <w:r w:rsidRPr="00360D46">
        <w:rPr>
          <w:rFonts w:ascii="Calibri" w:hAnsi="Calibri" w:cs="Calibri"/>
          <w:sz w:val="22"/>
        </w:rPr>
        <w:t xml:space="preserve"> after the first 18 months of treatment</w:t>
      </w:r>
      <w:r w:rsidR="00A172AD" w:rsidRPr="00360D46">
        <w:rPr>
          <w:rFonts w:ascii="Calibri" w:hAnsi="Calibri" w:cs="Calibri"/>
          <w:sz w:val="22"/>
        </w:rPr>
        <w:t xml:space="preserve"> with amiodarone</w:t>
      </w:r>
      <w:r w:rsidRPr="00360D46">
        <w:rPr>
          <w:rFonts w:ascii="Calibri" w:hAnsi="Calibri" w:cs="Calibri"/>
          <w:sz w:val="22"/>
        </w:rPr>
        <w:t xml:space="preserve">.  </w:t>
      </w:r>
    </w:p>
    <w:p w:rsidR="00C46E80" w:rsidRPr="00360D46" w:rsidRDefault="00C46E80" w:rsidP="007934FD">
      <w:pPr>
        <w:numPr>
          <w:ilvl w:val="0"/>
          <w:numId w:val="18"/>
        </w:numPr>
        <w:spacing w:line="276" w:lineRule="auto"/>
        <w:ind w:left="426" w:hanging="426"/>
        <w:jc w:val="both"/>
        <w:rPr>
          <w:rFonts w:ascii="Calibri" w:hAnsi="Calibri" w:cs="Calibri"/>
          <w:sz w:val="22"/>
        </w:rPr>
      </w:pPr>
      <w:r w:rsidRPr="00360D46">
        <w:rPr>
          <w:rFonts w:ascii="Calibri" w:hAnsi="Calibri" w:cs="Calibri"/>
          <w:sz w:val="22"/>
        </w:rPr>
        <w:t>Permanent AIH after withdrawal of amiodarone is almost always associated with underlying thyroid disease (eg Hashimoto’s).</w:t>
      </w:r>
    </w:p>
    <w:p w:rsidR="00C46E80" w:rsidRPr="00360D46" w:rsidRDefault="00C46E80" w:rsidP="007934FD">
      <w:pPr>
        <w:numPr>
          <w:ilvl w:val="0"/>
          <w:numId w:val="18"/>
        </w:numPr>
        <w:spacing w:line="276" w:lineRule="auto"/>
        <w:ind w:left="426" w:hanging="426"/>
        <w:jc w:val="both"/>
        <w:rPr>
          <w:rFonts w:ascii="Calibri" w:hAnsi="Calibri" w:cs="Calibri"/>
          <w:sz w:val="22"/>
        </w:rPr>
      </w:pPr>
      <w:r w:rsidRPr="00360D46">
        <w:rPr>
          <w:rFonts w:ascii="Calibri" w:hAnsi="Calibri" w:cs="Calibri"/>
          <w:sz w:val="22"/>
        </w:rPr>
        <w:t>Family history of thyroid disease may predispose to development of AIH</w:t>
      </w:r>
    </w:p>
    <w:p w:rsidR="00C46E80" w:rsidRPr="00360D46" w:rsidRDefault="00C46E80" w:rsidP="007934FD">
      <w:pPr>
        <w:spacing w:line="276" w:lineRule="auto"/>
        <w:jc w:val="both"/>
        <w:rPr>
          <w:rFonts w:ascii="Calibri" w:hAnsi="Calibri" w:cs="Calibri"/>
          <w:sz w:val="16"/>
          <w:szCs w:val="18"/>
        </w:rPr>
      </w:pPr>
    </w:p>
    <w:p w:rsidR="00C46E80" w:rsidRPr="00360D46" w:rsidRDefault="00C46E80" w:rsidP="007934FD">
      <w:pPr>
        <w:pStyle w:val="Heading4"/>
        <w:spacing w:line="276" w:lineRule="auto"/>
        <w:rPr>
          <w:rFonts w:ascii="Calibri" w:hAnsi="Calibri" w:cs="Calibri"/>
          <w:sz w:val="22"/>
        </w:rPr>
      </w:pPr>
      <w:r w:rsidRPr="00360D46">
        <w:rPr>
          <w:rFonts w:ascii="Calibri" w:hAnsi="Calibri" w:cs="Calibri"/>
          <w:sz w:val="22"/>
        </w:rPr>
        <w:lastRenderedPageBreak/>
        <w:t>Investigation and management</w:t>
      </w:r>
    </w:p>
    <w:p w:rsidR="00C46E80" w:rsidRPr="00360D46" w:rsidRDefault="00C46E80" w:rsidP="007934FD">
      <w:pPr>
        <w:numPr>
          <w:ilvl w:val="0"/>
          <w:numId w:val="1"/>
        </w:numPr>
        <w:tabs>
          <w:tab w:val="clear" w:pos="720"/>
          <w:tab w:val="num" w:pos="360"/>
        </w:tabs>
        <w:spacing w:line="276" w:lineRule="auto"/>
        <w:ind w:left="360"/>
        <w:jc w:val="both"/>
        <w:rPr>
          <w:rFonts w:ascii="Calibri" w:hAnsi="Calibri" w:cs="Calibri"/>
          <w:sz w:val="22"/>
        </w:rPr>
      </w:pPr>
      <w:r w:rsidRPr="00360D46">
        <w:rPr>
          <w:rFonts w:ascii="Calibri" w:hAnsi="Calibri" w:cs="Calibri"/>
          <w:sz w:val="22"/>
        </w:rPr>
        <w:t>A raised TSH in the first few months of amiodarone therapy does not necessarily indicated thyroid disease as this can be physiological and self-limiting.</w:t>
      </w:r>
    </w:p>
    <w:p w:rsidR="00C46E80" w:rsidRPr="00360D46" w:rsidRDefault="00C46E80" w:rsidP="007934FD">
      <w:pPr>
        <w:numPr>
          <w:ilvl w:val="0"/>
          <w:numId w:val="1"/>
        </w:numPr>
        <w:tabs>
          <w:tab w:val="clear" w:pos="720"/>
          <w:tab w:val="num" w:pos="360"/>
        </w:tabs>
        <w:spacing w:line="276" w:lineRule="auto"/>
        <w:ind w:left="360"/>
        <w:jc w:val="both"/>
        <w:rPr>
          <w:rFonts w:ascii="Calibri" w:hAnsi="Calibri" w:cs="Calibri"/>
          <w:sz w:val="22"/>
        </w:rPr>
      </w:pPr>
      <w:r w:rsidRPr="00360D46">
        <w:rPr>
          <w:rFonts w:ascii="Calibri" w:hAnsi="Calibri" w:cs="Calibri"/>
          <w:sz w:val="22"/>
        </w:rPr>
        <w:t>Treatment of AIH is relatively straightforward and may involve stopping/decreasing amiodarone, administering thyroxine or both.</w:t>
      </w:r>
    </w:p>
    <w:p w:rsidR="00C46E80" w:rsidRPr="00360D46" w:rsidRDefault="00C46E80" w:rsidP="007934FD">
      <w:pPr>
        <w:numPr>
          <w:ilvl w:val="0"/>
          <w:numId w:val="1"/>
        </w:numPr>
        <w:tabs>
          <w:tab w:val="clear" w:pos="720"/>
          <w:tab w:val="num" w:pos="360"/>
        </w:tabs>
        <w:spacing w:line="276" w:lineRule="auto"/>
        <w:ind w:left="360"/>
        <w:jc w:val="both"/>
        <w:rPr>
          <w:rFonts w:ascii="Calibri" w:hAnsi="Calibri" w:cs="Calibri"/>
          <w:sz w:val="22"/>
        </w:rPr>
      </w:pPr>
      <w:r w:rsidRPr="00360D46">
        <w:rPr>
          <w:rFonts w:ascii="Calibri" w:hAnsi="Calibri" w:cs="Calibri"/>
          <w:sz w:val="22"/>
        </w:rPr>
        <w:t xml:space="preserve">The aim of treatment is to </w:t>
      </w:r>
      <w:r w:rsidR="00A172AD" w:rsidRPr="00360D46">
        <w:rPr>
          <w:rFonts w:ascii="Calibri" w:hAnsi="Calibri" w:cs="Calibri"/>
          <w:sz w:val="22"/>
        </w:rPr>
        <w:t>normalise</w:t>
      </w:r>
      <w:r w:rsidR="00C62174" w:rsidRPr="00360D46">
        <w:rPr>
          <w:rFonts w:ascii="Calibri" w:hAnsi="Calibri" w:cs="Calibri"/>
          <w:sz w:val="22"/>
        </w:rPr>
        <w:t xml:space="preserve"> TSH to avoid p</w:t>
      </w:r>
      <w:r w:rsidR="00A172AD" w:rsidRPr="00360D46">
        <w:rPr>
          <w:rFonts w:ascii="Calibri" w:hAnsi="Calibri" w:cs="Calibri"/>
          <w:sz w:val="22"/>
        </w:rPr>
        <w:t>reci</w:t>
      </w:r>
      <w:r w:rsidR="00C62174" w:rsidRPr="00360D46">
        <w:rPr>
          <w:rFonts w:ascii="Calibri" w:hAnsi="Calibri" w:cs="Calibri"/>
          <w:sz w:val="22"/>
        </w:rPr>
        <w:t>p</w:t>
      </w:r>
      <w:r w:rsidR="00A172AD" w:rsidRPr="00360D46">
        <w:rPr>
          <w:rFonts w:ascii="Calibri" w:hAnsi="Calibri" w:cs="Calibri"/>
          <w:sz w:val="22"/>
        </w:rPr>
        <w:t>i</w:t>
      </w:r>
      <w:r w:rsidR="00C62174" w:rsidRPr="00360D46">
        <w:rPr>
          <w:rFonts w:ascii="Calibri" w:hAnsi="Calibri" w:cs="Calibri"/>
          <w:sz w:val="22"/>
        </w:rPr>
        <w:t>t</w:t>
      </w:r>
      <w:r w:rsidR="00A172AD" w:rsidRPr="00360D46">
        <w:rPr>
          <w:rFonts w:ascii="Calibri" w:hAnsi="Calibri" w:cs="Calibri"/>
          <w:sz w:val="22"/>
        </w:rPr>
        <w:t>at</w:t>
      </w:r>
      <w:r w:rsidR="00C62174" w:rsidRPr="00360D46">
        <w:rPr>
          <w:rFonts w:ascii="Calibri" w:hAnsi="Calibri" w:cs="Calibri"/>
          <w:sz w:val="22"/>
        </w:rPr>
        <w:t>ing arrhythm</w:t>
      </w:r>
      <w:r w:rsidR="00A172AD" w:rsidRPr="00360D46">
        <w:rPr>
          <w:rFonts w:ascii="Calibri" w:hAnsi="Calibri" w:cs="Calibri"/>
          <w:sz w:val="22"/>
        </w:rPr>
        <w:t>i</w:t>
      </w:r>
      <w:r w:rsidR="00C62174" w:rsidRPr="00360D46">
        <w:rPr>
          <w:rFonts w:ascii="Calibri" w:hAnsi="Calibri" w:cs="Calibri"/>
          <w:sz w:val="22"/>
        </w:rPr>
        <w:t>as</w:t>
      </w:r>
    </w:p>
    <w:p w:rsidR="00A172AD" w:rsidRPr="00360D46" w:rsidRDefault="00A172AD" w:rsidP="007934FD">
      <w:pPr>
        <w:pStyle w:val="Heading4"/>
        <w:spacing w:line="276" w:lineRule="auto"/>
        <w:rPr>
          <w:rFonts w:ascii="Calibri" w:hAnsi="Calibri" w:cs="Calibri"/>
          <w:sz w:val="16"/>
          <w:szCs w:val="18"/>
        </w:rPr>
      </w:pPr>
    </w:p>
    <w:p w:rsidR="00C46E80" w:rsidRPr="00360D46" w:rsidRDefault="00C46E80" w:rsidP="007934FD">
      <w:pPr>
        <w:pStyle w:val="Heading4"/>
        <w:spacing w:line="276" w:lineRule="auto"/>
        <w:rPr>
          <w:rFonts w:ascii="Calibri" w:hAnsi="Calibri" w:cs="Calibri"/>
          <w:sz w:val="22"/>
          <w:u w:val="single"/>
        </w:rPr>
      </w:pPr>
      <w:r w:rsidRPr="00360D46">
        <w:rPr>
          <w:rFonts w:ascii="Calibri" w:hAnsi="Calibri" w:cs="Calibri"/>
          <w:sz w:val="22"/>
          <w:u w:val="single"/>
        </w:rPr>
        <w:t>AIT</w:t>
      </w:r>
    </w:p>
    <w:p w:rsidR="00C46E80" w:rsidRPr="00360D46" w:rsidRDefault="00C46E80" w:rsidP="007934FD">
      <w:pPr>
        <w:numPr>
          <w:ilvl w:val="0"/>
          <w:numId w:val="5"/>
        </w:numPr>
        <w:spacing w:line="276" w:lineRule="auto"/>
        <w:ind w:left="426" w:hanging="426"/>
        <w:jc w:val="both"/>
        <w:rPr>
          <w:rFonts w:ascii="Calibri" w:hAnsi="Calibri" w:cs="Calibri"/>
          <w:sz w:val="22"/>
        </w:rPr>
      </w:pPr>
      <w:r w:rsidRPr="00360D46">
        <w:rPr>
          <w:rFonts w:ascii="Calibri" w:hAnsi="Calibri" w:cs="Calibri"/>
          <w:sz w:val="22"/>
        </w:rPr>
        <w:t>Unlike AIH, AIT is more common in men (male:female ratio of 3:1)</w:t>
      </w:r>
    </w:p>
    <w:p w:rsidR="00C46E80" w:rsidRPr="00360D46" w:rsidRDefault="00C46E80" w:rsidP="007934FD">
      <w:pPr>
        <w:numPr>
          <w:ilvl w:val="0"/>
          <w:numId w:val="5"/>
        </w:numPr>
        <w:spacing w:line="276" w:lineRule="auto"/>
        <w:ind w:left="426" w:hanging="426"/>
        <w:jc w:val="both"/>
        <w:rPr>
          <w:rFonts w:ascii="Calibri" w:hAnsi="Calibri" w:cs="Calibri"/>
          <w:sz w:val="22"/>
        </w:rPr>
      </w:pPr>
      <w:r w:rsidRPr="00360D46">
        <w:rPr>
          <w:rFonts w:ascii="Calibri" w:hAnsi="Calibri" w:cs="Calibri"/>
          <w:sz w:val="22"/>
        </w:rPr>
        <w:t xml:space="preserve">AIT may occur </w:t>
      </w:r>
      <w:r w:rsidR="009B3376" w:rsidRPr="00360D46">
        <w:rPr>
          <w:rFonts w:ascii="Calibri" w:hAnsi="Calibri" w:cs="Calibri"/>
          <w:sz w:val="22"/>
        </w:rPr>
        <w:t>up to one</w:t>
      </w:r>
      <w:r w:rsidRPr="00360D46">
        <w:rPr>
          <w:rFonts w:ascii="Calibri" w:hAnsi="Calibri" w:cs="Calibri"/>
          <w:sz w:val="22"/>
        </w:rPr>
        <w:t xml:space="preserve"> year after drug withdrawal (long drug half-life).</w:t>
      </w:r>
    </w:p>
    <w:p w:rsidR="00C46E80" w:rsidRPr="00360D46" w:rsidRDefault="00C46E80" w:rsidP="007934FD">
      <w:pPr>
        <w:numPr>
          <w:ilvl w:val="0"/>
          <w:numId w:val="5"/>
        </w:numPr>
        <w:spacing w:line="276" w:lineRule="auto"/>
        <w:ind w:left="426" w:hanging="426"/>
        <w:jc w:val="both"/>
        <w:rPr>
          <w:rFonts w:ascii="Calibri" w:hAnsi="Calibri" w:cs="Calibri"/>
          <w:sz w:val="22"/>
        </w:rPr>
      </w:pPr>
      <w:r w:rsidRPr="00360D46">
        <w:rPr>
          <w:rFonts w:ascii="Calibri" w:hAnsi="Calibri" w:cs="Calibri"/>
          <w:sz w:val="22"/>
        </w:rPr>
        <w:t>Classical symptoms may be absent due to amiodarone’s anti-adrenergic effects.</w:t>
      </w:r>
    </w:p>
    <w:p w:rsidR="00C46E80" w:rsidRPr="00360D46" w:rsidRDefault="009B3376" w:rsidP="007934FD">
      <w:pPr>
        <w:numPr>
          <w:ilvl w:val="0"/>
          <w:numId w:val="5"/>
        </w:numPr>
        <w:spacing w:line="276" w:lineRule="auto"/>
        <w:ind w:left="426" w:hanging="426"/>
        <w:jc w:val="both"/>
        <w:rPr>
          <w:rFonts w:ascii="Calibri" w:hAnsi="Calibri" w:cs="Calibri"/>
          <w:sz w:val="22"/>
        </w:rPr>
      </w:pPr>
      <w:r w:rsidRPr="00360D46">
        <w:rPr>
          <w:rFonts w:ascii="Calibri" w:hAnsi="Calibri" w:cs="Calibri"/>
          <w:sz w:val="22"/>
        </w:rPr>
        <w:t>A</w:t>
      </w:r>
      <w:r w:rsidR="00C46E80" w:rsidRPr="00360D46">
        <w:rPr>
          <w:rFonts w:ascii="Calibri" w:hAnsi="Calibri" w:cs="Calibri"/>
          <w:sz w:val="22"/>
        </w:rPr>
        <w:t xml:space="preserve"> slightly raised FT4 and a slightly low TT3 can be physiological.  </w:t>
      </w:r>
    </w:p>
    <w:p w:rsidR="00C46E80" w:rsidRPr="00360D46" w:rsidRDefault="00C46E80" w:rsidP="007934FD">
      <w:pPr>
        <w:numPr>
          <w:ilvl w:val="0"/>
          <w:numId w:val="18"/>
        </w:numPr>
        <w:spacing w:line="276" w:lineRule="auto"/>
        <w:ind w:left="426" w:hanging="426"/>
        <w:jc w:val="both"/>
        <w:rPr>
          <w:rFonts w:ascii="Calibri" w:hAnsi="Calibri" w:cs="Calibri"/>
          <w:sz w:val="22"/>
        </w:rPr>
      </w:pPr>
      <w:r w:rsidRPr="00360D46">
        <w:rPr>
          <w:rFonts w:ascii="Calibri" w:hAnsi="Calibri" w:cs="Calibri"/>
          <w:sz w:val="22"/>
        </w:rPr>
        <w:t xml:space="preserve">In true AIT, the TSH should be suppressed and the TT3 is elevated.  </w:t>
      </w:r>
    </w:p>
    <w:p w:rsidR="00C46E80" w:rsidRPr="00360D46" w:rsidRDefault="00C46E80" w:rsidP="007934FD">
      <w:pPr>
        <w:numPr>
          <w:ilvl w:val="0"/>
          <w:numId w:val="18"/>
        </w:numPr>
        <w:spacing w:line="276" w:lineRule="auto"/>
        <w:ind w:left="426" w:hanging="426"/>
        <w:jc w:val="both"/>
        <w:rPr>
          <w:rFonts w:ascii="Calibri" w:hAnsi="Calibri" w:cs="Calibri"/>
          <w:sz w:val="22"/>
        </w:rPr>
      </w:pPr>
      <w:r w:rsidRPr="00360D46">
        <w:rPr>
          <w:rFonts w:ascii="Calibri" w:hAnsi="Calibri" w:cs="Calibri"/>
          <w:sz w:val="22"/>
        </w:rPr>
        <w:t xml:space="preserve">AIT can be divided into types 1 and 2 (table 1).  The type affects management.   </w:t>
      </w:r>
    </w:p>
    <w:p w:rsidR="002B692D" w:rsidRPr="007934FD" w:rsidRDefault="002B692D" w:rsidP="007934FD">
      <w:pPr>
        <w:pStyle w:val="Heading5"/>
        <w:spacing w:line="276" w:lineRule="auto"/>
        <w:rPr>
          <w:rFonts w:ascii="Calibri" w:hAnsi="Calibri" w:cs="Calibri"/>
          <w:sz w:val="16"/>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3840"/>
        <w:gridCol w:w="2520"/>
      </w:tblGrid>
      <w:tr w:rsidR="002B692D" w:rsidRPr="002B692D" w:rsidTr="00360D46">
        <w:tblPrEx>
          <w:tblCellMar>
            <w:top w:w="0" w:type="dxa"/>
            <w:bottom w:w="0" w:type="dxa"/>
          </w:tblCellMar>
        </w:tblPrEx>
        <w:tc>
          <w:tcPr>
            <w:tcW w:w="1740" w:type="dxa"/>
            <w:tcBorders>
              <w:top w:val="nil"/>
              <w:left w:val="nil"/>
            </w:tcBorders>
          </w:tcPr>
          <w:p w:rsidR="002B692D" w:rsidRPr="007934FD" w:rsidRDefault="007934FD" w:rsidP="007934FD">
            <w:pPr>
              <w:spacing w:line="276" w:lineRule="auto"/>
              <w:jc w:val="both"/>
              <w:rPr>
                <w:rFonts w:ascii="Calibri" w:hAnsi="Calibri" w:cs="Calibri"/>
                <w:sz w:val="22"/>
                <w:u w:val="single"/>
              </w:rPr>
            </w:pPr>
            <w:r w:rsidRPr="007934FD">
              <w:rPr>
                <w:rFonts w:ascii="Calibri" w:hAnsi="Calibri" w:cs="Calibri"/>
                <w:u w:val="single"/>
              </w:rPr>
              <w:t>Table 1</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AIT type I</w:t>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AIT type II</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Aetiology</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Iodine toxicity causes excess thyroid hormone synthesis, often in those with underlying autoimmune thyroid disease</w:t>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Destructive thyroiditis</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Goitre</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Frequent</w:t>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Infrequent</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Antibodies</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 xml:space="preserve">May be +ve </w:t>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-ve</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I131 uptake</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 xml:space="preserve">Normal/ slightly </w:t>
            </w:r>
            <w:r w:rsidRPr="002B692D">
              <w:rPr>
                <w:rFonts w:ascii="Calibri" w:hAnsi="Calibri" w:cs="Calibri"/>
                <w:sz w:val="22"/>
              </w:rPr>
              <w:sym w:font="Wingdings" w:char="F0E1"/>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Decreased</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Thyroglobulin</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 xml:space="preserve">Normal/slightly </w:t>
            </w:r>
            <w:r w:rsidRPr="002B692D">
              <w:rPr>
                <w:rFonts w:ascii="Calibri" w:hAnsi="Calibri" w:cs="Calibri"/>
                <w:sz w:val="22"/>
              </w:rPr>
              <w:sym w:font="Wingdings" w:char="F0E1"/>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sym w:font="Wingdings" w:char="F0E1"/>
            </w:r>
            <w:r w:rsidRPr="002B692D">
              <w:rPr>
                <w:rFonts w:ascii="Calibri" w:hAnsi="Calibri" w:cs="Calibri"/>
                <w:sz w:val="22"/>
              </w:rPr>
              <w:sym w:font="Wingdings" w:char="F0E1"/>
            </w:r>
            <w:r w:rsidRPr="002B692D">
              <w:rPr>
                <w:rFonts w:ascii="Calibri" w:hAnsi="Calibri" w:cs="Calibri"/>
                <w:sz w:val="22"/>
              </w:rPr>
              <w:sym w:font="Wingdings" w:char="F0E1"/>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Hypothyroidism</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Does not occur</w:t>
            </w:r>
          </w:p>
        </w:tc>
        <w:tc>
          <w:tcPr>
            <w:tcW w:w="2520" w:type="dxa"/>
          </w:tcPr>
          <w:p w:rsidR="002B692D" w:rsidRPr="002B692D" w:rsidRDefault="002B692D" w:rsidP="007934FD">
            <w:pPr>
              <w:spacing w:line="276" w:lineRule="auto"/>
              <w:jc w:val="both"/>
              <w:rPr>
                <w:rFonts w:ascii="Calibri" w:hAnsi="Calibri" w:cs="Calibri"/>
                <w:sz w:val="22"/>
              </w:rPr>
            </w:pPr>
            <w:r>
              <w:rPr>
                <w:rFonts w:ascii="Calibri" w:hAnsi="Calibri" w:cs="Calibri"/>
                <w:sz w:val="22"/>
              </w:rPr>
              <w:t>May occur</w:t>
            </w:r>
            <w:r w:rsidR="00A47DA5">
              <w:rPr>
                <w:rFonts w:ascii="Calibri" w:hAnsi="Calibri" w:cs="Calibri"/>
                <w:sz w:val="22"/>
              </w:rPr>
              <w:t xml:space="preserve"> later</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Doppler</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sym w:font="Wingdings" w:char="F0E1"/>
            </w:r>
            <w:r w:rsidRPr="002B692D">
              <w:rPr>
                <w:rFonts w:ascii="Calibri" w:hAnsi="Calibri" w:cs="Calibri"/>
                <w:sz w:val="22"/>
              </w:rPr>
              <w:t>/N vascularity</w:t>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sym w:font="ZapfDingbats" w:char="F0E2"/>
            </w:r>
            <w:r w:rsidRPr="002B692D">
              <w:rPr>
                <w:rFonts w:ascii="Calibri" w:hAnsi="Calibri" w:cs="Calibri"/>
                <w:sz w:val="22"/>
              </w:rPr>
              <w:t xml:space="preserve"> vascularity</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Treat AIT</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 xml:space="preserve">Potassium perchlorate and ATDs </w:t>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Prednisolone</w:t>
            </w:r>
          </w:p>
        </w:tc>
      </w:tr>
      <w:tr w:rsidR="002B692D" w:rsidRPr="002B692D" w:rsidTr="00360D46">
        <w:tblPrEx>
          <w:tblCellMar>
            <w:top w:w="0" w:type="dxa"/>
            <w:bottom w:w="0" w:type="dxa"/>
          </w:tblCellMar>
        </w:tblPrEx>
        <w:tc>
          <w:tcPr>
            <w:tcW w:w="17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Definitive treatment</w:t>
            </w:r>
          </w:p>
        </w:tc>
        <w:tc>
          <w:tcPr>
            <w:tcW w:w="384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 xml:space="preserve">Thyroidectomy </w:t>
            </w:r>
          </w:p>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(I131)</w:t>
            </w:r>
          </w:p>
        </w:tc>
        <w:tc>
          <w:tcPr>
            <w:tcW w:w="2520" w:type="dxa"/>
          </w:tcPr>
          <w:p w:rsidR="002B692D" w:rsidRPr="002B692D" w:rsidRDefault="002B692D" w:rsidP="007934FD">
            <w:pPr>
              <w:spacing w:line="276" w:lineRule="auto"/>
              <w:jc w:val="both"/>
              <w:rPr>
                <w:rFonts w:ascii="Calibri" w:hAnsi="Calibri" w:cs="Calibri"/>
                <w:sz w:val="22"/>
              </w:rPr>
            </w:pPr>
            <w:r w:rsidRPr="002B692D">
              <w:rPr>
                <w:rFonts w:ascii="Calibri" w:hAnsi="Calibri" w:cs="Calibri"/>
                <w:sz w:val="22"/>
              </w:rPr>
              <w:t xml:space="preserve">Thyroidectomy if no response. Follow up for possible hypothyroidism. </w:t>
            </w:r>
          </w:p>
        </w:tc>
      </w:tr>
    </w:tbl>
    <w:p w:rsidR="007934FD" w:rsidRPr="00360D46" w:rsidRDefault="007934FD" w:rsidP="007934FD">
      <w:pPr>
        <w:spacing w:line="276" w:lineRule="auto"/>
        <w:jc w:val="both"/>
        <w:rPr>
          <w:rFonts w:ascii="Calibri" w:hAnsi="Calibri" w:cs="Calibri"/>
          <w:sz w:val="16"/>
          <w:szCs w:val="18"/>
        </w:rPr>
      </w:pPr>
    </w:p>
    <w:p w:rsidR="00C46E80" w:rsidRPr="00360D46" w:rsidRDefault="00C46E80" w:rsidP="007934FD">
      <w:pPr>
        <w:spacing w:line="276" w:lineRule="auto"/>
        <w:jc w:val="both"/>
        <w:rPr>
          <w:rFonts w:ascii="Calibri" w:hAnsi="Calibri" w:cs="Calibri"/>
          <w:sz w:val="22"/>
        </w:rPr>
      </w:pPr>
      <w:r w:rsidRPr="00360D46">
        <w:rPr>
          <w:rFonts w:ascii="Calibri" w:hAnsi="Calibri" w:cs="Calibri"/>
          <w:sz w:val="22"/>
        </w:rPr>
        <w:t>There are 3 questions to consider when deciding on management:</w:t>
      </w:r>
    </w:p>
    <w:p w:rsidR="00C46E80" w:rsidRPr="00360D46" w:rsidRDefault="00C46E80" w:rsidP="007934FD">
      <w:pPr>
        <w:numPr>
          <w:ilvl w:val="1"/>
          <w:numId w:val="21"/>
        </w:numPr>
        <w:tabs>
          <w:tab w:val="clear" w:pos="2149"/>
          <w:tab w:val="num" w:pos="426"/>
        </w:tabs>
        <w:spacing w:line="276" w:lineRule="auto"/>
        <w:ind w:left="900" w:hanging="900"/>
        <w:jc w:val="both"/>
        <w:rPr>
          <w:rFonts w:ascii="Calibri" w:hAnsi="Calibri" w:cs="Calibri"/>
          <w:sz w:val="22"/>
        </w:rPr>
      </w:pPr>
      <w:r w:rsidRPr="00360D46">
        <w:rPr>
          <w:rFonts w:ascii="Calibri" w:hAnsi="Calibri" w:cs="Calibri"/>
          <w:b/>
          <w:bCs/>
          <w:sz w:val="22"/>
        </w:rPr>
        <w:t>Can amiodarone be stopped?</w:t>
      </w:r>
      <w:r w:rsidRPr="00360D46">
        <w:rPr>
          <w:rFonts w:ascii="Calibri" w:hAnsi="Calibri" w:cs="Calibri"/>
          <w:sz w:val="22"/>
        </w:rPr>
        <w:t xml:space="preserve"> The following factors are relevant:</w:t>
      </w:r>
    </w:p>
    <w:p w:rsidR="00C46E80" w:rsidRPr="00360D46" w:rsidRDefault="00C46E80" w:rsidP="007934FD">
      <w:pPr>
        <w:numPr>
          <w:ilvl w:val="0"/>
          <w:numId w:val="23"/>
        </w:numPr>
        <w:tabs>
          <w:tab w:val="clear" w:pos="1429"/>
          <w:tab w:val="num" w:pos="709"/>
        </w:tabs>
        <w:spacing w:line="276" w:lineRule="auto"/>
        <w:ind w:left="709" w:hanging="283"/>
        <w:jc w:val="both"/>
        <w:rPr>
          <w:rFonts w:ascii="Calibri" w:hAnsi="Calibri" w:cs="Calibri"/>
          <w:sz w:val="22"/>
        </w:rPr>
      </w:pPr>
      <w:r w:rsidRPr="00360D46">
        <w:rPr>
          <w:rFonts w:ascii="Calibri" w:hAnsi="Calibri" w:cs="Calibri"/>
          <w:sz w:val="22"/>
        </w:rPr>
        <w:t xml:space="preserve"> </w:t>
      </w:r>
      <w:r w:rsidR="009B3376" w:rsidRPr="00360D46">
        <w:rPr>
          <w:rFonts w:ascii="Calibri" w:hAnsi="Calibri" w:cs="Calibri"/>
          <w:sz w:val="22"/>
        </w:rPr>
        <w:t xml:space="preserve">Long </w:t>
      </w:r>
      <w:r w:rsidRPr="00360D46">
        <w:rPr>
          <w:rFonts w:ascii="Calibri" w:hAnsi="Calibri" w:cs="Calibri"/>
          <w:sz w:val="22"/>
        </w:rPr>
        <w:t>half-life (22-55 days)</w:t>
      </w:r>
      <w:r w:rsidR="009B3376" w:rsidRPr="00360D46">
        <w:rPr>
          <w:rFonts w:ascii="Calibri" w:hAnsi="Calibri" w:cs="Calibri"/>
          <w:sz w:val="22"/>
        </w:rPr>
        <w:t>:</w:t>
      </w:r>
      <w:r w:rsidRPr="00360D46">
        <w:rPr>
          <w:rFonts w:ascii="Calibri" w:hAnsi="Calibri" w:cs="Calibri"/>
          <w:sz w:val="22"/>
        </w:rPr>
        <w:t xml:space="preserve"> discontinuation will not rapidly </w:t>
      </w:r>
      <w:r w:rsidR="009B3376" w:rsidRPr="00360D46">
        <w:rPr>
          <w:rFonts w:ascii="Calibri" w:hAnsi="Calibri" w:cs="Calibri"/>
          <w:sz w:val="22"/>
        </w:rPr>
        <w:t>resolve</w:t>
      </w:r>
      <w:r w:rsidRPr="00360D46">
        <w:rPr>
          <w:rFonts w:ascii="Calibri" w:hAnsi="Calibri" w:cs="Calibri"/>
          <w:sz w:val="22"/>
        </w:rPr>
        <w:t xml:space="preserve"> AIT.</w:t>
      </w:r>
    </w:p>
    <w:p w:rsidR="00C46E80" w:rsidRPr="00360D46" w:rsidRDefault="00C46E80" w:rsidP="007934FD">
      <w:pPr>
        <w:numPr>
          <w:ilvl w:val="0"/>
          <w:numId w:val="23"/>
        </w:numPr>
        <w:tabs>
          <w:tab w:val="clear" w:pos="1429"/>
          <w:tab w:val="num" w:pos="709"/>
        </w:tabs>
        <w:spacing w:line="276" w:lineRule="auto"/>
        <w:ind w:left="709" w:hanging="283"/>
        <w:jc w:val="both"/>
        <w:rPr>
          <w:rFonts w:ascii="Calibri" w:hAnsi="Calibri" w:cs="Calibri"/>
          <w:sz w:val="22"/>
        </w:rPr>
      </w:pPr>
      <w:r w:rsidRPr="00360D46">
        <w:rPr>
          <w:rFonts w:ascii="Calibri" w:hAnsi="Calibri" w:cs="Calibri"/>
          <w:sz w:val="22"/>
        </w:rPr>
        <w:t xml:space="preserve">Indication: </w:t>
      </w:r>
      <w:r w:rsidR="009B3376" w:rsidRPr="00360D46">
        <w:rPr>
          <w:rFonts w:ascii="Calibri" w:hAnsi="Calibri" w:cs="Calibri"/>
          <w:sz w:val="22"/>
        </w:rPr>
        <w:t>it is less likely that it can be stopped if used</w:t>
      </w:r>
      <w:r w:rsidRPr="00360D46">
        <w:rPr>
          <w:rFonts w:ascii="Calibri" w:hAnsi="Calibri" w:cs="Calibri"/>
          <w:sz w:val="22"/>
        </w:rPr>
        <w:t xml:space="preserve"> to treat </w:t>
      </w:r>
      <w:r w:rsidR="009B3376" w:rsidRPr="00360D46">
        <w:rPr>
          <w:rFonts w:ascii="Calibri" w:hAnsi="Calibri" w:cs="Calibri"/>
          <w:sz w:val="22"/>
        </w:rPr>
        <w:t>VT rather than AF</w:t>
      </w:r>
      <w:r w:rsidRPr="00360D46">
        <w:rPr>
          <w:rFonts w:ascii="Calibri" w:hAnsi="Calibri" w:cs="Calibri"/>
          <w:sz w:val="22"/>
        </w:rPr>
        <w:t>.</w:t>
      </w:r>
    </w:p>
    <w:p w:rsidR="00C46E80" w:rsidRPr="00360D46" w:rsidRDefault="00C46E80" w:rsidP="007934FD">
      <w:pPr>
        <w:numPr>
          <w:ilvl w:val="0"/>
          <w:numId w:val="23"/>
        </w:numPr>
        <w:tabs>
          <w:tab w:val="clear" w:pos="1429"/>
          <w:tab w:val="num" w:pos="709"/>
        </w:tabs>
        <w:spacing w:line="276" w:lineRule="auto"/>
        <w:ind w:left="709" w:hanging="283"/>
        <w:jc w:val="both"/>
        <w:rPr>
          <w:rFonts w:ascii="Calibri" w:hAnsi="Calibri" w:cs="Calibri"/>
          <w:sz w:val="22"/>
        </w:rPr>
      </w:pPr>
      <w:r w:rsidRPr="00360D46">
        <w:rPr>
          <w:rFonts w:ascii="Calibri" w:hAnsi="Calibri" w:cs="Calibri"/>
          <w:sz w:val="22"/>
        </w:rPr>
        <w:t>In a retrospective case series (n=28) where those with ventricular arrhythmias continued amiodarone (n=16), there was no difference between the two groups in the dose of carbimazole required, the rate of recovery of TFTs, the development of spontaneous euthyroidism or the subsequent relapse of AIT.</w:t>
      </w:r>
    </w:p>
    <w:p w:rsidR="00C46E80" w:rsidRPr="00360D46" w:rsidRDefault="00C46E80" w:rsidP="007934FD">
      <w:pPr>
        <w:numPr>
          <w:ilvl w:val="1"/>
          <w:numId w:val="21"/>
        </w:numPr>
        <w:tabs>
          <w:tab w:val="clear" w:pos="2149"/>
          <w:tab w:val="num" w:pos="426"/>
        </w:tabs>
        <w:spacing w:line="276" w:lineRule="auto"/>
        <w:ind w:left="426" w:hanging="426"/>
        <w:jc w:val="both"/>
        <w:rPr>
          <w:rFonts w:ascii="Calibri" w:hAnsi="Calibri" w:cs="Calibri"/>
          <w:sz w:val="22"/>
        </w:rPr>
      </w:pPr>
      <w:r w:rsidRPr="00360D46">
        <w:rPr>
          <w:rFonts w:ascii="Calibri" w:hAnsi="Calibri" w:cs="Calibri"/>
          <w:b/>
          <w:bCs/>
          <w:sz w:val="22"/>
        </w:rPr>
        <w:t>Is antithyroid Rx needed?</w:t>
      </w:r>
      <w:r w:rsidRPr="00360D46">
        <w:rPr>
          <w:rFonts w:ascii="Calibri" w:hAnsi="Calibri" w:cs="Calibri"/>
          <w:sz w:val="22"/>
        </w:rPr>
        <w:t xml:space="preserve"> If thyrotoxicosis is mild and amiodarone can be discontinued, it may be worth holding off antithyroid treatment.</w:t>
      </w:r>
    </w:p>
    <w:p w:rsidR="009B3376" w:rsidRPr="00360D46" w:rsidRDefault="00C46E80" w:rsidP="007934FD">
      <w:pPr>
        <w:numPr>
          <w:ilvl w:val="1"/>
          <w:numId w:val="21"/>
        </w:numPr>
        <w:tabs>
          <w:tab w:val="clear" w:pos="2149"/>
          <w:tab w:val="num" w:pos="426"/>
        </w:tabs>
        <w:spacing w:line="276" w:lineRule="auto"/>
        <w:ind w:left="426" w:hanging="426"/>
        <w:jc w:val="both"/>
        <w:rPr>
          <w:rFonts w:ascii="Calibri" w:hAnsi="Calibri" w:cs="Calibri"/>
          <w:sz w:val="22"/>
        </w:rPr>
      </w:pPr>
      <w:r w:rsidRPr="00360D46">
        <w:rPr>
          <w:rFonts w:ascii="Calibri" w:hAnsi="Calibri" w:cs="Calibri"/>
          <w:b/>
          <w:bCs/>
          <w:sz w:val="22"/>
        </w:rPr>
        <w:t>If treatment is needed, which is most appropriate?</w:t>
      </w:r>
      <w:r w:rsidRPr="00360D46">
        <w:rPr>
          <w:rFonts w:ascii="Calibri" w:hAnsi="Calibri" w:cs="Calibri"/>
          <w:sz w:val="22"/>
        </w:rPr>
        <w:t xml:space="preserve"> (Consider aetiology)</w:t>
      </w:r>
    </w:p>
    <w:p w:rsidR="00C46E80" w:rsidRPr="00360D46" w:rsidRDefault="00C46E80" w:rsidP="007934FD">
      <w:pPr>
        <w:numPr>
          <w:ilvl w:val="2"/>
          <w:numId w:val="21"/>
        </w:numPr>
        <w:tabs>
          <w:tab w:val="clear" w:pos="2869"/>
          <w:tab w:val="num" w:pos="709"/>
        </w:tabs>
        <w:spacing w:line="276" w:lineRule="auto"/>
        <w:ind w:left="709" w:hanging="283"/>
        <w:jc w:val="both"/>
        <w:rPr>
          <w:rFonts w:ascii="Calibri" w:hAnsi="Calibri" w:cs="Calibri"/>
          <w:sz w:val="22"/>
        </w:rPr>
      </w:pPr>
      <w:r w:rsidRPr="00360D46">
        <w:rPr>
          <w:rFonts w:ascii="Calibri" w:hAnsi="Calibri" w:cs="Calibri"/>
          <w:b/>
          <w:bCs/>
          <w:sz w:val="22"/>
        </w:rPr>
        <w:t>Type 1 AIT: ATDs</w:t>
      </w:r>
      <w:r w:rsidRPr="00360D46">
        <w:rPr>
          <w:rFonts w:ascii="Calibri" w:hAnsi="Calibri" w:cs="Calibri"/>
          <w:sz w:val="22"/>
        </w:rPr>
        <w:t xml:space="preserve"> can be used</w:t>
      </w:r>
      <w:r w:rsidR="00A47DA5" w:rsidRPr="00360D46">
        <w:rPr>
          <w:rFonts w:ascii="Calibri" w:hAnsi="Calibri" w:cs="Calibri"/>
          <w:sz w:val="22"/>
        </w:rPr>
        <w:t>. H</w:t>
      </w:r>
      <w:r w:rsidRPr="00360D46">
        <w:rPr>
          <w:rFonts w:ascii="Calibri" w:hAnsi="Calibri" w:cs="Calibri"/>
          <w:sz w:val="22"/>
        </w:rPr>
        <w:t>igh doses are required</w:t>
      </w:r>
      <w:r w:rsidR="00A47DA5" w:rsidRPr="00360D46">
        <w:rPr>
          <w:rFonts w:ascii="Calibri" w:hAnsi="Calibri" w:cs="Calibri"/>
          <w:sz w:val="22"/>
        </w:rPr>
        <w:t>, possibly due</w:t>
      </w:r>
      <w:r w:rsidRPr="00360D46">
        <w:rPr>
          <w:rFonts w:ascii="Calibri" w:hAnsi="Calibri" w:cs="Calibri"/>
          <w:sz w:val="22"/>
        </w:rPr>
        <w:t xml:space="preserve"> to high intrathyroidal iodine stores. 1g/day </w:t>
      </w:r>
      <w:r w:rsidRPr="00360D46">
        <w:rPr>
          <w:rFonts w:ascii="Calibri" w:hAnsi="Calibri" w:cs="Calibri"/>
          <w:b/>
          <w:bCs/>
          <w:sz w:val="22"/>
        </w:rPr>
        <w:t>potassium perchlorate</w:t>
      </w:r>
      <w:r w:rsidRPr="00360D46">
        <w:rPr>
          <w:rFonts w:ascii="Calibri" w:hAnsi="Calibri" w:cs="Calibri"/>
          <w:sz w:val="22"/>
        </w:rPr>
        <w:t xml:space="preserve"> (maximum 6/52) can help discharge iodide stores and prevent further uptake of iodide by the thyroid. </w:t>
      </w:r>
      <w:r w:rsidR="00A172AD" w:rsidRPr="009B3376">
        <w:rPr>
          <w:rFonts w:ascii="Calibri" w:hAnsi="Calibri" w:cs="Calibri"/>
          <w:sz w:val="22"/>
        </w:rPr>
        <w:t xml:space="preserve"> </w:t>
      </w:r>
      <w:r w:rsidRPr="00360D46">
        <w:rPr>
          <w:rFonts w:ascii="Calibri" w:hAnsi="Calibri" w:cs="Calibri"/>
          <w:sz w:val="22"/>
        </w:rPr>
        <w:lastRenderedPageBreak/>
        <w:t xml:space="preserve">Side-effects include aplastic anaemia and nephrotic syndrome </w:t>
      </w:r>
      <w:r w:rsidR="00A47DA5" w:rsidRPr="00360D46">
        <w:rPr>
          <w:rFonts w:ascii="Calibri" w:hAnsi="Calibri" w:cs="Calibri"/>
          <w:sz w:val="22"/>
        </w:rPr>
        <w:t xml:space="preserve">(monitor </w:t>
      </w:r>
      <w:r w:rsidRPr="00360D46">
        <w:rPr>
          <w:rFonts w:ascii="Calibri" w:hAnsi="Calibri" w:cs="Calibri"/>
          <w:sz w:val="22"/>
        </w:rPr>
        <w:t>FBC and U/E</w:t>
      </w:r>
      <w:r w:rsidR="00A47DA5" w:rsidRPr="00360D46">
        <w:rPr>
          <w:rFonts w:ascii="Calibri" w:hAnsi="Calibri" w:cs="Calibri"/>
          <w:sz w:val="22"/>
        </w:rPr>
        <w:t>)</w:t>
      </w:r>
      <w:r w:rsidRPr="00360D46">
        <w:rPr>
          <w:rFonts w:ascii="Calibri" w:hAnsi="Calibri" w:cs="Calibri"/>
          <w:sz w:val="22"/>
        </w:rPr>
        <w:t>.  Carbimazole doses often need to start at 40-60mg (or 400-600mg PTU daily).</w:t>
      </w:r>
    </w:p>
    <w:p w:rsidR="00A47DA5" w:rsidRPr="00360D46" w:rsidRDefault="00C46E80" w:rsidP="007934FD">
      <w:pPr>
        <w:numPr>
          <w:ilvl w:val="2"/>
          <w:numId w:val="21"/>
        </w:numPr>
        <w:tabs>
          <w:tab w:val="clear" w:pos="2869"/>
        </w:tabs>
        <w:spacing w:line="276" w:lineRule="auto"/>
        <w:ind w:left="709" w:hanging="283"/>
        <w:jc w:val="both"/>
        <w:rPr>
          <w:rFonts w:ascii="Calibri" w:hAnsi="Calibri" w:cs="Calibri"/>
          <w:sz w:val="22"/>
        </w:rPr>
      </w:pPr>
      <w:r w:rsidRPr="00360D46">
        <w:rPr>
          <w:rFonts w:ascii="Calibri" w:hAnsi="Calibri" w:cs="Calibri"/>
          <w:b/>
          <w:bCs/>
          <w:sz w:val="22"/>
        </w:rPr>
        <w:t>Type 2: Prednisolone</w:t>
      </w:r>
      <w:r w:rsidRPr="00360D46">
        <w:rPr>
          <w:rFonts w:ascii="Calibri" w:hAnsi="Calibri" w:cs="Calibri"/>
          <w:sz w:val="22"/>
        </w:rPr>
        <w:t xml:space="preserve"> inhibits deiodinase activity</w:t>
      </w:r>
      <w:r w:rsidR="00A47DA5" w:rsidRPr="00360D46">
        <w:rPr>
          <w:rFonts w:ascii="Calibri" w:hAnsi="Calibri" w:cs="Calibri"/>
          <w:sz w:val="22"/>
        </w:rPr>
        <w:t>;</w:t>
      </w:r>
      <w:r w:rsidRPr="00360D46">
        <w:rPr>
          <w:rFonts w:ascii="Calibri" w:hAnsi="Calibri" w:cs="Calibri"/>
          <w:sz w:val="22"/>
        </w:rPr>
        <w:t xml:space="preserve"> may have direct effect on thyroid.</w:t>
      </w:r>
    </w:p>
    <w:p w:rsidR="00A47DA5" w:rsidRPr="00360D46" w:rsidRDefault="00A47DA5" w:rsidP="007934FD">
      <w:pPr>
        <w:spacing w:line="276" w:lineRule="auto"/>
        <w:jc w:val="both"/>
        <w:rPr>
          <w:rFonts w:ascii="Calibri" w:hAnsi="Calibri" w:cs="Calibri"/>
          <w:sz w:val="22"/>
        </w:rPr>
      </w:pPr>
    </w:p>
    <w:p w:rsidR="00A47DA5" w:rsidRDefault="00A47DA5" w:rsidP="007934FD">
      <w:pPr>
        <w:pStyle w:val="Heading1"/>
        <w:spacing w:line="276" w:lineRule="auto"/>
        <w:rPr>
          <w:rFonts w:ascii="Calibri" w:hAnsi="Calibri" w:cs="Calibri"/>
          <w:caps/>
          <w:sz w:val="22"/>
        </w:rPr>
      </w:pPr>
      <w:r w:rsidRPr="00A47DA5">
        <w:rPr>
          <w:rFonts w:ascii="Calibri" w:hAnsi="Calibri" w:cs="Calibri"/>
          <w:caps/>
          <w:sz w:val="22"/>
        </w:rPr>
        <w:t>Algorithm for investigation and management of AIT</w:t>
      </w:r>
    </w:p>
    <w:p w:rsidR="00A47DA5" w:rsidRPr="00360D46" w:rsidRDefault="00A47DA5" w:rsidP="007934FD">
      <w:pPr>
        <w:spacing w:line="276" w:lineRule="auto"/>
        <w:rPr>
          <w:rFonts w:ascii="Calibri" w:hAnsi="Calibri" w:cs="Calibri"/>
          <w:sz w:val="22"/>
          <w:szCs w:val="22"/>
        </w:rPr>
      </w:pPr>
      <w:r w:rsidRPr="00360D46">
        <w:rPr>
          <w:rFonts w:ascii="Calibri" w:hAnsi="Calibri" w:cs="Calibri"/>
          <w:sz w:val="22"/>
          <w:szCs w:val="22"/>
        </w:rPr>
        <w:t xml:space="preserve">Although the subtype of AIT may be clear, it can sometimes be difficult to determine.  Figure 1 illustrates a pragmatic </w:t>
      </w:r>
      <w:r w:rsidR="007934FD" w:rsidRPr="00360D46">
        <w:rPr>
          <w:rFonts w:ascii="Calibri" w:hAnsi="Calibri" w:cs="Calibri"/>
          <w:sz w:val="22"/>
          <w:szCs w:val="22"/>
        </w:rPr>
        <w:t xml:space="preserve">approach to management which uses therapeutic response to help differentiate between type 1 and type 2 AIT. </w:t>
      </w:r>
    </w:p>
    <w:p w:rsidR="00A47DA5" w:rsidRPr="00A47DA5" w:rsidRDefault="00A47DA5" w:rsidP="007934FD">
      <w:pPr>
        <w:numPr>
          <w:ilvl w:val="1"/>
          <w:numId w:val="23"/>
        </w:numPr>
        <w:tabs>
          <w:tab w:val="clear" w:pos="2149"/>
          <w:tab w:val="num" w:pos="360"/>
        </w:tabs>
        <w:spacing w:line="276" w:lineRule="auto"/>
        <w:ind w:left="360"/>
        <w:jc w:val="both"/>
        <w:rPr>
          <w:rFonts w:ascii="Calibri" w:hAnsi="Calibri" w:cs="Calibri"/>
          <w:b/>
          <w:bCs/>
          <w:sz w:val="22"/>
        </w:rPr>
      </w:pPr>
      <w:r w:rsidRPr="00A47DA5">
        <w:rPr>
          <w:rFonts w:ascii="Calibri" w:hAnsi="Calibri" w:cs="Calibri"/>
          <w:b/>
          <w:bCs/>
          <w:sz w:val="22"/>
        </w:rPr>
        <w:t xml:space="preserve">Confirm that it is true AIT: </w:t>
      </w:r>
    </w:p>
    <w:p w:rsidR="00A47DA5" w:rsidRPr="00A47DA5" w:rsidRDefault="00A47DA5" w:rsidP="007934FD">
      <w:pPr>
        <w:numPr>
          <w:ilvl w:val="0"/>
          <w:numId w:val="25"/>
        </w:numPr>
        <w:tabs>
          <w:tab w:val="clear" w:pos="2869"/>
          <w:tab w:val="num" w:pos="720"/>
        </w:tabs>
        <w:spacing w:line="276" w:lineRule="auto"/>
        <w:ind w:left="720"/>
        <w:jc w:val="both"/>
        <w:rPr>
          <w:rFonts w:ascii="Calibri" w:hAnsi="Calibri" w:cs="Calibri"/>
          <w:sz w:val="22"/>
        </w:rPr>
      </w:pPr>
      <w:r w:rsidRPr="00A47DA5">
        <w:rPr>
          <w:rFonts w:ascii="Calibri" w:hAnsi="Calibri" w:cs="Calibri"/>
          <w:sz w:val="22"/>
        </w:rPr>
        <w:t xml:space="preserve">Are there clinical signs to suggest AIT (though amiodarone may mask </w:t>
      </w:r>
      <w:r w:rsidRPr="00A47DA5">
        <w:rPr>
          <w:rFonts w:ascii="Calibri" w:hAnsi="Calibri" w:cs="Calibri"/>
          <w:sz w:val="22"/>
        </w:rPr>
        <w:sym w:font="Wingdings" w:char="F0E1"/>
      </w:r>
      <w:r w:rsidRPr="00A47DA5">
        <w:rPr>
          <w:rFonts w:ascii="Calibri" w:hAnsi="Calibri" w:cs="Calibri"/>
          <w:sz w:val="22"/>
        </w:rPr>
        <w:t>HR).</w:t>
      </w:r>
    </w:p>
    <w:p w:rsidR="00A47DA5" w:rsidRPr="007B1B04" w:rsidRDefault="00A47DA5" w:rsidP="007934FD">
      <w:pPr>
        <w:numPr>
          <w:ilvl w:val="0"/>
          <w:numId w:val="25"/>
        </w:numPr>
        <w:tabs>
          <w:tab w:val="clear" w:pos="2869"/>
          <w:tab w:val="num" w:pos="720"/>
        </w:tabs>
        <w:spacing w:line="276" w:lineRule="auto"/>
        <w:ind w:left="720"/>
        <w:jc w:val="both"/>
        <w:rPr>
          <w:rFonts w:ascii="Calibri" w:hAnsi="Calibri" w:cs="Calibri"/>
          <w:sz w:val="22"/>
        </w:rPr>
      </w:pPr>
      <w:r w:rsidRPr="007B1B04">
        <w:rPr>
          <w:rFonts w:ascii="Calibri" w:hAnsi="Calibri" w:cs="Calibri"/>
          <w:sz w:val="22"/>
        </w:rPr>
        <w:t>Check TSH and TT3 as raised FT4 alone could be physiological.</w:t>
      </w:r>
    </w:p>
    <w:p w:rsidR="007B1B04" w:rsidRPr="007B1B04" w:rsidRDefault="007B1B04" w:rsidP="007B1B04">
      <w:pPr>
        <w:numPr>
          <w:ilvl w:val="1"/>
          <w:numId w:val="23"/>
        </w:numPr>
        <w:tabs>
          <w:tab w:val="clear" w:pos="2149"/>
          <w:tab w:val="num" w:pos="360"/>
        </w:tabs>
        <w:spacing w:line="276" w:lineRule="auto"/>
        <w:ind w:left="360"/>
        <w:jc w:val="both"/>
        <w:rPr>
          <w:rFonts w:ascii="Calibri" w:hAnsi="Calibri" w:cs="Calibri"/>
          <w:sz w:val="22"/>
        </w:rPr>
      </w:pPr>
      <w:r w:rsidRPr="007B1B04">
        <w:rPr>
          <w:rFonts w:ascii="Calibri" w:hAnsi="Calibri" w:cs="Calibri"/>
          <w:sz w:val="22"/>
        </w:rPr>
        <w:t>Consider whether amiodarone can be stopped in consultation with cardiology</w:t>
      </w:r>
    </w:p>
    <w:p w:rsidR="00A47DA5" w:rsidRPr="00A47DA5" w:rsidRDefault="007934FD" w:rsidP="007934FD">
      <w:pPr>
        <w:numPr>
          <w:ilvl w:val="1"/>
          <w:numId w:val="23"/>
        </w:numPr>
        <w:tabs>
          <w:tab w:val="clear" w:pos="2149"/>
          <w:tab w:val="num" w:pos="360"/>
        </w:tabs>
        <w:spacing w:line="276" w:lineRule="auto"/>
        <w:ind w:left="360"/>
        <w:jc w:val="both"/>
        <w:rPr>
          <w:rFonts w:ascii="Calibri" w:hAnsi="Calibri" w:cs="Calibri"/>
          <w:b/>
          <w:bCs/>
          <w:sz w:val="22"/>
        </w:rPr>
      </w:pPr>
      <w:r>
        <w:rPr>
          <w:rFonts w:ascii="Calibri" w:hAnsi="Calibri" w:cs="Calibri"/>
          <w:b/>
          <w:bCs/>
          <w:sz w:val="22"/>
        </w:rPr>
        <w:t>Commence carbimazole 40mg and prednisolone 40mg and review in 2/52</w:t>
      </w:r>
      <w:r w:rsidR="007B1B04">
        <w:rPr>
          <w:rFonts w:ascii="Calibri" w:hAnsi="Calibri" w:cs="Calibri"/>
          <w:b/>
          <w:bCs/>
          <w:sz w:val="22"/>
        </w:rPr>
        <w:t xml:space="preserve">: </w:t>
      </w:r>
      <w:r w:rsidR="007B1B04">
        <w:rPr>
          <w:rFonts w:ascii="Calibri" w:hAnsi="Calibri" w:cs="Calibri"/>
          <w:sz w:val="22"/>
        </w:rPr>
        <w:t xml:space="preserve">Carbimazole will not have taken significant effect after 2 weeks while prednisolone will have.  </w:t>
      </w:r>
    </w:p>
    <w:p w:rsidR="00A47DA5" w:rsidRPr="00A47DA5" w:rsidRDefault="007B1B04" w:rsidP="007934FD">
      <w:pPr>
        <w:numPr>
          <w:ilvl w:val="1"/>
          <w:numId w:val="23"/>
        </w:numPr>
        <w:tabs>
          <w:tab w:val="clear" w:pos="2149"/>
          <w:tab w:val="num" w:pos="360"/>
        </w:tabs>
        <w:spacing w:line="276" w:lineRule="auto"/>
        <w:ind w:left="360"/>
        <w:jc w:val="both"/>
        <w:rPr>
          <w:rFonts w:ascii="Calibri" w:hAnsi="Calibri" w:cs="Calibri"/>
          <w:b/>
          <w:bCs/>
          <w:sz w:val="22"/>
        </w:rPr>
      </w:pPr>
      <w:r>
        <w:rPr>
          <w:rFonts w:ascii="Calibri" w:hAnsi="Calibri" w:cs="Calibri"/>
          <w:b/>
          <w:bCs/>
          <w:sz w:val="22"/>
        </w:rPr>
        <w:t xml:space="preserve">Depending on reduction in T3, decide whether this is type 1 or type 2 and </w:t>
      </w:r>
      <w:r w:rsidR="00987079">
        <w:rPr>
          <w:rFonts w:ascii="Calibri" w:hAnsi="Calibri" w:cs="Calibri"/>
          <w:b/>
          <w:bCs/>
          <w:sz w:val="22"/>
        </w:rPr>
        <w:t>rationalise</w:t>
      </w:r>
      <w:r>
        <w:rPr>
          <w:rFonts w:ascii="Calibri" w:hAnsi="Calibri" w:cs="Calibri"/>
          <w:b/>
          <w:bCs/>
          <w:sz w:val="22"/>
        </w:rPr>
        <w:t xml:space="preserve"> treatment. </w:t>
      </w:r>
      <w:r>
        <w:rPr>
          <w:rFonts w:ascii="Calibri" w:hAnsi="Calibri" w:cs="Calibri"/>
          <w:sz w:val="22"/>
        </w:rPr>
        <w:t xml:space="preserve">Patients </w:t>
      </w:r>
      <w:r w:rsidR="00987079">
        <w:rPr>
          <w:rFonts w:ascii="Calibri" w:hAnsi="Calibri" w:cs="Calibri"/>
          <w:sz w:val="22"/>
        </w:rPr>
        <w:t>sometimes</w:t>
      </w:r>
      <w:r>
        <w:rPr>
          <w:rFonts w:ascii="Calibri" w:hAnsi="Calibri" w:cs="Calibri"/>
          <w:sz w:val="22"/>
        </w:rPr>
        <w:t xml:space="preserve"> require treatment with both agents.</w:t>
      </w:r>
    </w:p>
    <w:p w:rsidR="00A47DA5" w:rsidRPr="007B1B04" w:rsidRDefault="00A47DA5" w:rsidP="007934FD">
      <w:pPr>
        <w:numPr>
          <w:ilvl w:val="1"/>
          <w:numId w:val="23"/>
        </w:numPr>
        <w:tabs>
          <w:tab w:val="clear" w:pos="2149"/>
          <w:tab w:val="num" w:pos="360"/>
        </w:tabs>
        <w:spacing w:line="276" w:lineRule="auto"/>
        <w:ind w:left="360"/>
        <w:jc w:val="both"/>
        <w:rPr>
          <w:rFonts w:ascii="Calibri" w:hAnsi="Calibri" w:cs="Calibri"/>
          <w:sz w:val="22"/>
        </w:rPr>
      </w:pPr>
      <w:r w:rsidRPr="007B1B04">
        <w:rPr>
          <w:rFonts w:ascii="Calibri" w:hAnsi="Calibri" w:cs="Calibri"/>
          <w:sz w:val="22"/>
        </w:rPr>
        <w:t>If medical therapy fails or amiodarone can</w:t>
      </w:r>
      <w:r w:rsidR="007B1B04">
        <w:rPr>
          <w:rFonts w:ascii="Calibri" w:hAnsi="Calibri" w:cs="Calibri"/>
          <w:sz w:val="22"/>
        </w:rPr>
        <w:t>’</w:t>
      </w:r>
      <w:r w:rsidRPr="007B1B04">
        <w:rPr>
          <w:rFonts w:ascii="Calibri" w:hAnsi="Calibri" w:cs="Calibri"/>
          <w:sz w:val="22"/>
        </w:rPr>
        <w:t xml:space="preserve">t be </w:t>
      </w:r>
      <w:r w:rsidR="007B1B04">
        <w:rPr>
          <w:rFonts w:ascii="Calibri" w:hAnsi="Calibri" w:cs="Calibri"/>
          <w:sz w:val="22"/>
        </w:rPr>
        <w:t>stopp</w:t>
      </w:r>
      <w:r w:rsidRPr="007B1B04">
        <w:rPr>
          <w:rFonts w:ascii="Calibri" w:hAnsi="Calibri" w:cs="Calibri"/>
          <w:sz w:val="22"/>
        </w:rPr>
        <w:t xml:space="preserve">ed, thyroidectomy may be </w:t>
      </w:r>
      <w:r w:rsidR="007B1B04">
        <w:rPr>
          <w:rFonts w:ascii="Calibri" w:hAnsi="Calibri" w:cs="Calibri"/>
          <w:sz w:val="22"/>
        </w:rPr>
        <w:t>need</w:t>
      </w:r>
      <w:r w:rsidRPr="007B1B04">
        <w:rPr>
          <w:rFonts w:ascii="Calibri" w:hAnsi="Calibri" w:cs="Calibri"/>
          <w:sz w:val="22"/>
        </w:rPr>
        <w:t>ed</w:t>
      </w:r>
    </w:p>
    <w:p w:rsidR="00A47DA5" w:rsidRPr="00360D46" w:rsidRDefault="00987079" w:rsidP="007934FD">
      <w:pPr>
        <w:spacing w:line="276" w:lineRule="auto"/>
        <w:ind w:left="709"/>
        <w:jc w:val="both"/>
        <w:rPr>
          <w:rFonts w:ascii="Calibri" w:hAnsi="Calibri" w:cs="Calibri"/>
          <w:sz w:val="22"/>
        </w:rPr>
      </w:pPr>
      <w:r w:rsidRPr="00360D46">
        <w:rPr>
          <w:rFonts w:ascii="Calibri" w:hAnsi="Calibri" w:cs="Calibri"/>
          <w:noProof/>
          <w:sz w:val="22"/>
        </w:rPr>
        <w:pict>
          <v:shapetype id="_x0000_t202" coordsize="21600,21600" o:spt="202" path="m,l,21600r21600,l21600,xe">
            <v:stroke joinstyle="miter"/>
            <v:path gradientshapeok="t" o:connecttype="rect"/>
          </v:shapetype>
          <v:shape id="_x0000_s1027" type="#_x0000_t202" style="position:absolute;left:0;text-align:left;margin-left:13pt;margin-top:41.9pt;width:118.5pt;height:23.5pt;z-index:251657216" stroked="f">
            <v:textbox>
              <w:txbxContent>
                <w:p w:rsidR="007934FD" w:rsidRDefault="007934FD">
                  <w:r w:rsidRPr="00360D46">
                    <w:rPr>
                      <w:rFonts w:ascii="Calibri" w:hAnsi="Calibri" w:cs="Calibri"/>
                      <w:sz w:val="20"/>
                      <w:szCs w:val="20"/>
                    </w:rPr>
                    <w:t>Clin Endo 70: 2-13, 2009</w:t>
                  </w:r>
                </w:p>
              </w:txbxContent>
            </v:textbox>
          </v:shape>
        </w:pict>
      </w:r>
      <w:r w:rsidRPr="00360D46">
        <w:rPr>
          <w:rFonts w:ascii="Calibri" w:hAnsi="Calibri" w:cs="Calibri"/>
          <w:noProof/>
          <w:sz w:val="22"/>
        </w:rPr>
        <w:pict>
          <v:shape id="_x0000_s1028" type="#_x0000_t202" style="position:absolute;left:0;text-align:left;margin-left:7.35pt;margin-top:14.4pt;width:89pt;height:28.5pt;z-index:251658240" stroked="f">
            <v:textbox>
              <w:txbxContent>
                <w:p w:rsidR="00987079" w:rsidRPr="00360D46" w:rsidRDefault="00987079">
                  <w:pPr>
                    <w:rPr>
                      <w:rFonts w:ascii="Calibri" w:hAnsi="Calibri" w:cs="Calibri"/>
                      <w:sz w:val="22"/>
                      <w:szCs w:val="22"/>
                      <w:u w:val="single"/>
                    </w:rPr>
                  </w:pPr>
                  <w:r w:rsidRPr="00360D46">
                    <w:rPr>
                      <w:rFonts w:ascii="Calibri" w:hAnsi="Calibri" w:cs="Calibri"/>
                      <w:sz w:val="22"/>
                      <w:szCs w:val="22"/>
                      <w:u w:val="single"/>
                    </w:rPr>
                    <w:t>Figure 1</w:t>
                  </w:r>
                </w:p>
                <w:p w:rsidR="00987079" w:rsidRDefault="00987079"/>
              </w:txbxContent>
            </v:textbox>
          </v:shape>
        </w:pict>
      </w:r>
      <w:r w:rsidR="007955AB">
        <w:rPr>
          <w:rFonts w:ascii="Calibri" w:hAnsi="Calibri" w:cs="Calibri"/>
          <w:noProof/>
          <w:sz w:val="22"/>
          <w:lang w:eastAsia="en-GB"/>
        </w:rPr>
        <w:drawing>
          <wp:inline distT="0" distB="0" distL="0" distR="0">
            <wp:extent cx="4343400" cy="4229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43400" cy="4229100"/>
                    </a:xfrm>
                    <a:prstGeom prst="rect">
                      <a:avLst/>
                    </a:prstGeom>
                    <a:noFill/>
                    <a:ln w="9525">
                      <a:noFill/>
                      <a:miter lim="800000"/>
                      <a:headEnd/>
                      <a:tailEnd/>
                    </a:ln>
                  </pic:spPr>
                </pic:pic>
              </a:graphicData>
            </a:graphic>
          </wp:inline>
        </w:drawing>
      </w:r>
    </w:p>
    <w:p w:rsidR="00C46E80" w:rsidRPr="00360D46" w:rsidRDefault="00C46E80" w:rsidP="007934FD">
      <w:pPr>
        <w:pStyle w:val="Heading5"/>
        <w:spacing w:line="276" w:lineRule="auto"/>
        <w:rPr>
          <w:rFonts w:ascii="Calibri" w:hAnsi="Calibri" w:cs="Calibri"/>
        </w:rPr>
      </w:pPr>
    </w:p>
    <w:p w:rsidR="00C46E80" w:rsidRPr="00360D46" w:rsidRDefault="00C46E80" w:rsidP="007934FD">
      <w:pPr>
        <w:pStyle w:val="Heading1"/>
        <w:spacing w:line="276" w:lineRule="auto"/>
        <w:rPr>
          <w:rFonts w:ascii="Calibri" w:hAnsi="Calibri" w:cs="Calibri"/>
          <w:caps/>
          <w:sz w:val="18"/>
          <w:szCs w:val="20"/>
          <w:lang w:val="pt-BR"/>
        </w:rPr>
      </w:pPr>
      <w:r w:rsidRPr="00360D46">
        <w:rPr>
          <w:rFonts w:ascii="Calibri" w:hAnsi="Calibri" w:cs="Calibri"/>
          <w:caps/>
          <w:sz w:val="18"/>
          <w:szCs w:val="20"/>
          <w:lang w:val="pt-BR"/>
        </w:rPr>
        <w:t>References</w:t>
      </w:r>
    </w:p>
    <w:p w:rsidR="00C46E80" w:rsidRPr="00360D46" w:rsidRDefault="00C46E80" w:rsidP="007934FD">
      <w:pPr>
        <w:pStyle w:val="BodyText3"/>
        <w:spacing w:line="276" w:lineRule="auto"/>
        <w:ind w:left="180" w:hanging="180"/>
        <w:rPr>
          <w:rFonts w:ascii="Calibri" w:hAnsi="Calibri" w:cs="Calibri"/>
          <w:sz w:val="18"/>
          <w:szCs w:val="20"/>
        </w:rPr>
      </w:pPr>
      <w:r w:rsidRPr="00360D46">
        <w:rPr>
          <w:rFonts w:ascii="Calibri" w:hAnsi="Calibri" w:cs="Calibri"/>
          <w:sz w:val="18"/>
          <w:szCs w:val="20"/>
          <w:lang w:val="pt-BR"/>
        </w:rPr>
        <w:t xml:space="preserve">1. Martino E </w:t>
      </w:r>
      <w:r w:rsidRPr="00360D46">
        <w:rPr>
          <w:rFonts w:ascii="Calibri" w:hAnsi="Calibri" w:cs="Calibri"/>
          <w:i/>
          <w:iCs/>
          <w:sz w:val="18"/>
          <w:szCs w:val="20"/>
          <w:lang w:val="pt-BR"/>
        </w:rPr>
        <w:t>et al</w:t>
      </w:r>
      <w:r w:rsidRPr="00360D46">
        <w:rPr>
          <w:rFonts w:ascii="Calibri" w:hAnsi="Calibri" w:cs="Calibri"/>
          <w:sz w:val="18"/>
          <w:szCs w:val="20"/>
          <w:lang w:val="pt-BR"/>
        </w:rPr>
        <w:t xml:space="preserve">.  </w:t>
      </w:r>
      <w:r w:rsidRPr="00360D46">
        <w:rPr>
          <w:rFonts w:ascii="Calibri" w:hAnsi="Calibri" w:cs="Calibri"/>
          <w:sz w:val="18"/>
          <w:szCs w:val="20"/>
        </w:rPr>
        <w:t xml:space="preserve">The effects of amiodarone on the thyroid.  </w:t>
      </w:r>
      <w:r w:rsidRPr="00360D46">
        <w:rPr>
          <w:rFonts w:ascii="Calibri" w:hAnsi="Calibri" w:cs="Calibri"/>
          <w:i/>
          <w:iCs/>
          <w:sz w:val="18"/>
          <w:szCs w:val="20"/>
        </w:rPr>
        <w:t>Endocrine Reviews</w:t>
      </w:r>
      <w:r w:rsidRPr="00360D46">
        <w:rPr>
          <w:rFonts w:ascii="Calibri" w:hAnsi="Calibri" w:cs="Calibri"/>
          <w:sz w:val="18"/>
          <w:szCs w:val="20"/>
        </w:rPr>
        <w:t xml:space="preserve"> 22:240-254, 2001.</w:t>
      </w:r>
    </w:p>
    <w:p w:rsidR="00C46E80" w:rsidRPr="00360D46" w:rsidRDefault="00C46E80" w:rsidP="007934FD">
      <w:pPr>
        <w:pStyle w:val="BodyText3"/>
        <w:spacing w:line="276" w:lineRule="auto"/>
        <w:ind w:left="180" w:hanging="180"/>
        <w:rPr>
          <w:rFonts w:ascii="Calibri" w:hAnsi="Calibri" w:cs="Calibri"/>
          <w:sz w:val="18"/>
          <w:szCs w:val="20"/>
        </w:rPr>
      </w:pPr>
      <w:r w:rsidRPr="00360D46">
        <w:rPr>
          <w:rFonts w:ascii="Calibri" w:hAnsi="Calibri" w:cs="Calibri"/>
          <w:sz w:val="18"/>
          <w:szCs w:val="20"/>
        </w:rPr>
        <w:t xml:space="preserve">2. Harjai KJ, Licata AA.  Effects of amiodarone on thyroid function.  </w:t>
      </w:r>
      <w:r w:rsidRPr="00360D46">
        <w:rPr>
          <w:rFonts w:ascii="Calibri" w:hAnsi="Calibri" w:cs="Calibri"/>
          <w:i/>
          <w:iCs/>
          <w:sz w:val="18"/>
          <w:szCs w:val="20"/>
        </w:rPr>
        <w:t>Annals of Internal Medicine</w:t>
      </w:r>
      <w:r w:rsidRPr="00360D46">
        <w:rPr>
          <w:rFonts w:ascii="Calibri" w:hAnsi="Calibri" w:cs="Calibri"/>
          <w:sz w:val="18"/>
          <w:szCs w:val="20"/>
        </w:rPr>
        <w:t xml:space="preserve"> 126:63-73, 1997.</w:t>
      </w:r>
    </w:p>
    <w:p w:rsidR="00C46E80" w:rsidRPr="00360D46" w:rsidRDefault="00C46E80" w:rsidP="007934FD">
      <w:pPr>
        <w:pStyle w:val="BodyText3"/>
        <w:spacing w:line="276" w:lineRule="auto"/>
        <w:ind w:left="180" w:hanging="180"/>
        <w:rPr>
          <w:rFonts w:ascii="Calibri" w:hAnsi="Calibri" w:cs="Calibri"/>
          <w:sz w:val="18"/>
          <w:szCs w:val="20"/>
        </w:rPr>
      </w:pPr>
      <w:r w:rsidRPr="00360D46">
        <w:rPr>
          <w:rFonts w:ascii="Calibri" w:hAnsi="Calibri" w:cs="Calibri"/>
          <w:sz w:val="18"/>
          <w:szCs w:val="20"/>
        </w:rPr>
        <w:t xml:space="preserve">3. Osman F, Franklyn JA, Sheppard MC, Gammage MD.  Successful treatment of amiodarone-induced thyrotoxicosis.  </w:t>
      </w:r>
      <w:r w:rsidRPr="00360D46">
        <w:rPr>
          <w:rFonts w:ascii="Calibri" w:hAnsi="Calibri" w:cs="Calibri"/>
          <w:i/>
          <w:iCs/>
          <w:sz w:val="18"/>
          <w:szCs w:val="20"/>
        </w:rPr>
        <w:t>Circulation</w:t>
      </w:r>
      <w:r w:rsidRPr="00360D46">
        <w:rPr>
          <w:rFonts w:ascii="Calibri" w:hAnsi="Calibri" w:cs="Calibri"/>
          <w:sz w:val="18"/>
          <w:szCs w:val="20"/>
        </w:rPr>
        <w:t xml:space="preserve"> 105: 1275-1277, 2002.</w:t>
      </w:r>
    </w:p>
    <w:p w:rsidR="007934FD" w:rsidRPr="00360D46" w:rsidRDefault="007934FD" w:rsidP="007934FD">
      <w:pPr>
        <w:pStyle w:val="BodyText3"/>
        <w:spacing w:line="276" w:lineRule="auto"/>
        <w:ind w:left="180" w:hanging="180"/>
        <w:rPr>
          <w:rFonts w:ascii="Calibri" w:hAnsi="Calibri" w:cs="Calibri"/>
          <w:sz w:val="18"/>
          <w:szCs w:val="20"/>
        </w:rPr>
      </w:pPr>
      <w:r w:rsidRPr="00360D46">
        <w:rPr>
          <w:rFonts w:ascii="Calibri" w:hAnsi="Calibri" w:cs="Calibri"/>
          <w:sz w:val="18"/>
          <w:szCs w:val="20"/>
        </w:rPr>
        <w:t xml:space="preserve">4. Han TS, Williams GR, Vanderpump MPJ. Benzofuran derivatives and the thyroid. </w:t>
      </w:r>
      <w:r w:rsidRPr="00360D46">
        <w:rPr>
          <w:rFonts w:ascii="Calibri" w:hAnsi="Calibri" w:cs="Calibri"/>
          <w:i/>
          <w:iCs/>
          <w:sz w:val="18"/>
          <w:szCs w:val="20"/>
        </w:rPr>
        <w:t>Clin Endo</w:t>
      </w:r>
      <w:r w:rsidRPr="00360D46">
        <w:rPr>
          <w:rFonts w:ascii="Calibri" w:hAnsi="Calibri" w:cs="Calibri"/>
          <w:sz w:val="18"/>
          <w:szCs w:val="20"/>
        </w:rPr>
        <w:t xml:space="preserve"> 70: 2-13, 2009</w:t>
      </w:r>
    </w:p>
    <w:sectPr w:rsidR="007934FD" w:rsidRPr="00360D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1D" w:rsidRDefault="008A341D">
      <w:r>
        <w:separator/>
      </w:r>
    </w:p>
  </w:endnote>
  <w:endnote w:type="continuationSeparator" w:id="0">
    <w:p w:rsidR="008A341D" w:rsidRDefault="008A3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79" w:rsidRDefault="00987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74" w:rsidRPr="00360D46" w:rsidRDefault="00C62174" w:rsidP="00213D59">
    <w:pPr>
      <w:pStyle w:val="Footer"/>
      <w:spacing w:after="120"/>
      <w:jc w:val="center"/>
      <w:rPr>
        <w:rFonts w:ascii="Calibri" w:hAnsi="Calibri" w:cs="Calibri"/>
        <w:sz w:val="20"/>
        <w:szCs w:val="20"/>
      </w:rPr>
    </w:pPr>
    <w:r w:rsidRPr="00360D46">
      <w:rPr>
        <w:rStyle w:val="PageNumber"/>
        <w:rFonts w:ascii="Calibri" w:hAnsi="Calibri" w:cs="Calibri"/>
        <w:sz w:val="20"/>
        <w:szCs w:val="20"/>
      </w:rPr>
      <w:t xml:space="preserve">Page </w:t>
    </w:r>
    <w:r w:rsidRPr="00360D46">
      <w:rPr>
        <w:rStyle w:val="PageNumber"/>
        <w:rFonts w:ascii="Calibri" w:hAnsi="Calibri" w:cs="Calibri"/>
        <w:sz w:val="20"/>
        <w:szCs w:val="20"/>
      </w:rPr>
      <w:fldChar w:fldCharType="begin"/>
    </w:r>
    <w:r w:rsidRPr="00360D46">
      <w:rPr>
        <w:rStyle w:val="PageNumber"/>
        <w:rFonts w:ascii="Calibri" w:hAnsi="Calibri" w:cs="Calibri"/>
        <w:sz w:val="20"/>
        <w:szCs w:val="20"/>
      </w:rPr>
      <w:instrText xml:space="preserve"> PAGE </w:instrText>
    </w:r>
    <w:r w:rsidRPr="00360D46">
      <w:rPr>
        <w:rStyle w:val="PageNumber"/>
        <w:rFonts w:ascii="Calibri" w:hAnsi="Calibri" w:cs="Calibri"/>
        <w:sz w:val="20"/>
        <w:szCs w:val="20"/>
      </w:rPr>
      <w:fldChar w:fldCharType="separate"/>
    </w:r>
    <w:r w:rsidR="007955AB">
      <w:rPr>
        <w:rStyle w:val="PageNumber"/>
        <w:rFonts w:ascii="Calibri" w:hAnsi="Calibri" w:cs="Calibri"/>
        <w:noProof/>
        <w:sz w:val="20"/>
        <w:szCs w:val="20"/>
      </w:rPr>
      <w:t>1</w:t>
    </w:r>
    <w:r w:rsidRPr="00360D46">
      <w:rPr>
        <w:rStyle w:val="PageNumber"/>
        <w:rFonts w:ascii="Calibri" w:hAnsi="Calibri" w:cs="Calibri"/>
        <w:sz w:val="20"/>
        <w:szCs w:val="20"/>
      </w:rPr>
      <w:fldChar w:fldCharType="end"/>
    </w:r>
  </w:p>
  <w:p w:rsidR="00C62174" w:rsidRPr="00360D46" w:rsidRDefault="00C62174" w:rsidP="00213D59">
    <w:pPr>
      <w:pStyle w:val="Footer"/>
      <w:jc w:val="center"/>
      <w:rPr>
        <w:rFonts w:ascii="Calibri" w:hAnsi="Calibri" w:cs="Calibri"/>
        <w:sz w:val="20"/>
        <w:szCs w:val="20"/>
      </w:rPr>
    </w:pPr>
    <w:r w:rsidRPr="00360D46">
      <w:rPr>
        <w:rFonts w:ascii="Calibri" w:hAnsi="Calibri" w:cs="Calibri"/>
        <w:sz w:val="20"/>
        <w:szCs w:val="20"/>
      </w:rPr>
      <w:t>Protocol prepared by Nicola Zammitt (version 2</w:t>
    </w:r>
    <w:r w:rsidR="00987079" w:rsidRPr="00360D46">
      <w:rPr>
        <w:rFonts w:ascii="Calibri" w:hAnsi="Calibri" w:cs="Calibri"/>
        <w:sz w:val="20"/>
        <w:szCs w:val="20"/>
      </w:rPr>
      <w:t xml:space="preserve">     </w:t>
    </w:r>
    <w:r w:rsidRPr="00360D46">
      <w:rPr>
        <w:rFonts w:ascii="Calibri" w:hAnsi="Calibri" w:cs="Calibri"/>
        <w:sz w:val="20"/>
        <w:szCs w:val="20"/>
      </w:rPr>
      <w:t>)</w:t>
    </w:r>
    <w:r w:rsidRPr="00360D46">
      <w:rPr>
        <w:rFonts w:ascii="Calibri" w:hAnsi="Calibri" w:cs="Calibri"/>
        <w:sz w:val="20"/>
        <w:szCs w:val="20"/>
      </w:rPr>
      <w:tab/>
    </w:r>
    <w:r w:rsidR="00B43B16" w:rsidRPr="00360D46">
      <w:rPr>
        <w:rFonts w:ascii="Calibri" w:hAnsi="Calibri" w:cs="Calibri"/>
        <w:sz w:val="20"/>
        <w:szCs w:val="20"/>
      </w:rPr>
      <w:t>Reviewed October</w:t>
    </w:r>
    <w:r w:rsidRPr="00360D46">
      <w:rPr>
        <w:rFonts w:ascii="Calibri" w:hAnsi="Calibri" w:cs="Calibri"/>
        <w:sz w:val="20"/>
        <w:szCs w:val="20"/>
      </w:rPr>
      <w:t xml:space="preserve"> 20</w:t>
    </w:r>
    <w:r w:rsidR="00B43B16" w:rsidRPr="00360D46">
      <w:rPr>
        <w:rFonts w:ascii="Calibri" w:hAnsi="Calibri" w:cs="Calibri"/>
        <w:sz w:val="20"/>
        <w:szCs w:val="20"/>
      </w:rPr>
      <w:t>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79" w:rsidRDefault="0098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1D" w:rsidRDefault="008A341D">
      <w:r>
        <w:separator/>
      </w:r>
    </w:p>
  </w:footnote>
  <w:footnote w:type="continuationSeparator" w:id="0">
    <w:p w:rsidR="008A341D" w:rsidRDefault="008A3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79" w:rsidRDefault="00987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79" w:rsidRDefault="00987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79" w:rsidRDefault="00987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729"/>
    <w:multiLevelType w:val="hybridMultilevel"/>
    <w:tmpl w:val="4942FC1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F09B4"/>
    <w:multiLevelType w:val="hybridMultilevel"/>
    <w:tmpl w:val="C5CC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33BDA"/>
    <w:multiLevelType w:val="hybridMultilevel"/>
    <w:tmpl w:val="9ACC1626"/>
    <w:lvl w:ilvl="0" w:tplc="66E60264">
      <w:start w:val="1"/>
      <w:numFmt w:val="lowerLetter"/>
      <w:lvlText w:val="%1."/>
      <w:lvlJc w:val="left"/>
      <w:pPr>
        <w:tabs>
          <w:tab w:val="num" w:pos="2869"/>
        </w:tabs>
        <w:ind w:left="2869"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D2CA8"/>
    <w:multiLevelType w:val="hybridMultilevel"/>
    <w:tmpl w:val="DDEE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C23AC"/>
    <w:multiLevelType w:val="hybridMultilevel"/>
    <w:tmpl w:val="4ACCCE9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273CC"/>
    <w:multiLevelType w:val="hybridMultilevel"/>
    <w:tmpl w:val="77FA3A0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96E17B2">
      <w:start w:val="1"/>
      <w:numFmt w:val="bullet"/>
      <w:lvlText w:val=""/>
      <w:lvlJc w:val="left"/>
      <w:pPr>
        <w:tabs>
          <w:tab w:val="num" w:pos="2160"/>
        </w:tabs>
        <w:ind w:left="216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C3ABE"/>
    <w:multiLevelType w:val="hybridMultilevel"/>
    <w:tmpl w:val="77FA3A0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23F0C"/>
    <w:multiLevelType w:val="hybridMultilevel"/>
    <w:tmpl w:val="F5A0A2B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8659C7"/>
    <w:multiLevelType w:val="hybridMultilevel"/>
    <w:tmpl w:val="D6262C8C"/>
    <w:lvl w:ilvl="0" w:tplc="04090019">
      <w:start w:val="1"/>
      <w:numFmt w:val="lowerLetter"/>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
    <w:nsid w:val="2B0F0954"/>
    <w:multiLevelType w:val="hybridMultilevel"/>
    <w:tmpl w:val="F42CF624"/>
    <w:lvl w:ilvl="0" w:tplc="04090019">
      <w:start w:val="1"/>
      <w:numFmt w:val="lowerLetter"/>
      <w:lvlText w:val="%1."/>
      <w:lvlJc w:val="left"/>
      <w:pPr>
        <w:tabs>
          <w:tab w:val="num" w:pos="1429"/>
        </w:tabs>
        <w:ind w:left="1429" w:hanging="360"/>
      </w:pPr>
    </w:lvl>
    <w:lvl w:ilvl="1" w:tplc="219CC43E">
      <w:start w:val="1"/>
      <w:numFmt w:val="decimal"/>
      <w:lvlText w:val="%2."/>
      <w:lvlJc w:val="left"/>
      <w:pPr>
        <w:tabs>
          <w:tab w:val="num" w:pos="2149"/>
        </w:tabs>
        <w:ind w:left="2149" w:hanging="360"/>
      </w:pPr>
      <w:rPr>
        <w:rFonts w:hint="default"/>
        <w:sz w:val="24"/>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
    <w:nsid w:val="303F29F4"/>
    <w:multiLevelType w:val="hybridMultilevel"/>
    <w:tmpl w:val="656ECB2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344203F6"/>
    <w:multiLevelType w:val="hybridMultilevel"/>
    <w:tmpl w:val="27BA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006167"/>
    <w:multiLevelType w:val="hybridMultilevel"/>
    <w:tmpl w:val="FFAE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71838"/>
    <w:multiLevelType w:val="hybridMultilevel"/>
    <w:tmpl w:val="9800C544"/>
    <w:lvl w:ilvl="0" w:tplc="04090005">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7066E"/>
    <w:multiLevelType w:val="hybridMultilevel"/>
    <w:tmpl w:val="AF782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8A6DD5"/>
    <w:multiLevelType w:val="hybridMultilevel"/>
    <w:tmpl w:val="A01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4826C5"/>
    <w:multiLevelType w:val="hybridMultilevel"/>
    <w:tmpl w:val="352084B2"/>
    <w:lvl w:ilvl="0" w:tplc="08090001">
      <w:start w:val="1"/>
      <w:numFmt w:val="bullet"/>
      <w:lvlText w:val=""/>
      <w:lvlJc w:val="left"/>
      <w:pPr>
        <w:ind w:left="1429" w:hanging="360"/>
      </w:pPr>
      <w:rPr>
        <w:rFonts w:ascii="Symbol" w:hAnsi="Symbol" w:hint="default"/>
      </w:rPr>
    </w:lvl>
    <w:lvl w:ilvl="1" w:tplc="0809000B">
      <w:start w:val="1"/>
      <w:numFmt w:val="bullet"/>
      <w:lvlText w:val=""/>
      <w:lvlJc w:val="left"/>
      <w:pPr>
        <w:ind w:left="2149" w:hanging="360"/>
      </w:pPr>
      <w:rPr>
        <w:rFonts w:ascii="Wingdings" w:hAnsi="Wingdings"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ADD0C55"/>
    <w:multiLevelType w:val="hybridMultilevel"/>
    <w:tmpl w:val="8AE606AC"/>
    <w:lvl w:ilvl="0" w:tplc="7A207FC2">
      <w:start w:val="1"/>
      <w:numFmt w:val="lowerLetter"/>
      <w:lvlText w:val="%1."/>
      <w:lvlJc w:val="left"/>
      <w:pPr>
        <w:tabs>
          <w:tab w:val="num" w:pos="2869"/>
        </w:tabs>
        <w:ind w:left="2869"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A0C3F"/>
    <w:multiLevelType w:val="hybridMultilevel"/>
    <w:tmpl w:val="1B40E53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E668E"/>
    <w:multiLevelType w:val="hybridMultilevel"/>
    <w:tmpl w:val="538A5A3C"/>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53D92"/>
    <w:multiLevelType w:val="hybridMultilevel"/>
    <w:tmpl w:val="B378B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5B2868"/>
    <w:multiLevelType w:val="hybridMultilevel"/>
    <w:tmpl w:val="9142F8CE"/>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2D642F"/>
    <w:multiLevelType w:val="hybridMultilevel"/>
    <w:tmpl w:val="5E82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054A34"/>
    <w:multiLevelType w:val="hybridMultilevel"/>
    <w:tmpl w:val="656ECB2E"/>
    <w:lvl w:ilvl="0" w:tplc="08090001">
      <w:start w:val="1"/>
      <w:numFmt w:val="bullet"/>
      <w:lvlText w:val=""/>
      <w:lvlJc w:val="left"/>
      <w:pPr>
        <w:ind w:left="1429" w:hanging="360"/>
      </w:pPr>
      <w:rPr>
        <w:rFonts w:ascii="Symbol" w:hAnsi="Symbol" w:hint="default"/>
      </w:rPr>
    </w:lvl>
    <w:lvl w:ilvl="1" w:tplc="0409000F">
      <w:start w:val="1"/>
      <w:numFmt w:val="decimal"/>
      <w:lvlText w:val="%2."/>
      <w:lvlJc w:val="left"/>
      <w:pPr>
        <w:tabs>
          <w:tab w:val="num" w:pos="2149"/>
        </w:tabs>
        <w:ind w:left="2149" w:hanging="360"/>
      </w:pPr>
    </w:lvl>
    <w:lvl w:ilvl="2" w:tplc="04090019">
      <w:start w:val="1"/>
      <w:numFmt w:val="lowerLetter"/>
      <w:lvlText w:val="%3."/>
      <w:lvlJc w:val="left"/>
      <w:pPr>
        <w:tabs>
          <w:tab w:val="num" w:pos="2869"/>
        </w:tabs>
        <w:ind w:left="2869" w:hanging="360"/>
      </w:p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8E53510"/>
    <w:multiLevelType w:val="hybridMultilevel"/>
    <w:tmpl w:val="C37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06436"/>
    <w:multiLevelType w:val="hybridMultilevel"/>
    <w:tmpl w:val="98520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5"/>
  </w:num>
  <w:num w:numId="5">
    <w:abstractNumId w:val="10"/>
  </w:num>
  <w:num w:numId="6">
    <w:abstractNumId w:val="14"/>
  </w:num>
  <w:num w:numId="7">
    <w:abstractNumId w:val="22"/>
  </w:num>
  <w:num w:numId="8">
    <w:abstractNumId w:val="11"/>
  </w:num>
  <w:num w:numId="9">
    <w:abstractNumId w:val="12"/>
  </w:num>
  <w:num w:numId="10">
    <w:abstractNumId w:val="18"/>
  </w:num>
  <w:num w:numId="11">
    <w:abstractNumId w:val="0"/>
  </w:num>
  <w:num w:numId="12">
    <w:abstractNumId w:val="3"/>
  </w:num>
  <w:num w:numId="13">
    <w:abstractNumId w:val="13"/>
  </w:num>
  <w:num w:numId="14">
    <w:abstractNumId w:val="19"/>
  </w:num>
  <w:num w:numId="15">
    <w:abstractNumId w:val="7"/>
  </w:num>
  <w:num w:numId="16">
    <w:abstractNumId w:val="15"/>
  </w:num>
  <w:num w:numId="17">
    <w:abstractNumId w:val="21"/>
  </w:num>
  <w:num w:numId="18">
    <w:abstractNumId w:val="24"/>
  </w:num>
  <w:num w:numId="19">
    <w:abstractNumId w:val="1"/>
  </w:num>
  <w:num w:numId="20">
    <w:abstractNumId w:val="16"/>
  </w:num>
  <w:num w:numId="21">
    <w:abstractNumId w:val="23"/>
  </w:num>
  <w:num w:numId="22">
    <w:abstractNumId w:val="20"/>
  </w:num>
  <w:num w:numId="23">
    <w:abstractNumId w:val="9"/>
  </w:num>
  <w:num w:numId="24">
    <w:abstractNumId w:val="8"/>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A1624"/>
    <w:rsid w:val="00213D59"/>
    <w:rsid w:val="002B692D"/>
    <w:rsid w:val="00360D46"/>
    <w:rsid w:val="003A214F"/>
    <w:rsid w:val="007934FD"/>
    <w:rsid w:val="007955AB"/>
    <w:rsid w:val="007B1B04"/>
    <w:rsid w:val="008A341D"/>
    <w:rsid w:val="00987079"/>
    <w:rsid w:val="009B3376"/>
    <w:rsid w:val="00A172AD"/>
    <w:rsid w:val="00A47DA5"/>
    <w:rsid w:val="00B43B16"/>
    <w:rsid w:val="00C46E80"/>
    <w:rsid w:val="00C62174"/>
    <w:rsid w:val="00EA16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sz w:val="28"/>
      <w:u w:val="single"/>
    </w:rPr>
  </w:style>
  <w:style w:type="paragraph" w:styleId="Heading2">
    <w:name w:val="heading 2"/>
    <w:basedOn w:val="Normal"/>
    <w:next w:val="Normal"/>
    <w:qFormat/>
    <w:pPr>
      <w:keepNext/>
      <w:spacing w:line="360" w:lineRule="auto"/>
      <w:ind w:left="1080"/>
      <w:jc w:val="both"/>
      <w:outlineLvl w:val="1"/>
    </w:pPr>
    <w:rPr>
      <w:sz w:val="28"/>
    </w:rPr>
  </w:style>
  <w:style w:type="paragraph" w:styleId="Heading3">
    <w:name w:val="heading 3"/>
    <w:basedOn w:val="Normal"/>
    <w:next w:val="Normal"/>
    <w:qFormat/>
    <w:pPr>
      <w:keepNext/>
      <w:spacing w:line="360" w:lineRule="auto"/>
      <w:ind w:firstLine="1080"/>
      <w:jc w:val="both"/>
      <w:outlineLvl w:val="2"/>
    </w:pPr>
    <w:rPr>
      <w:sz w:val="28"/>
    </w:rPr>
  </w:style>
  <w:style w:type="paragraph" w:styleId="Heading4">
    <w:name w:val="heading 4"/>
    <w:basedOn w:val="Normal"/>
    <w:next w:val="Normal"/>
    <w:qFormat/>
    <w:pPr>
      <w:keepNext/>
      <w:spacing w:line="360" w:lineRule="auto"/>
      <w:jc w:val="both"/>
      <w:outlineLvl w:val="3"/>
    </w:pPr>
    <w:rPr>
      <w:sz w:val="28"/>
    </w:rPr>
  </w:style>
  <w:style w:type="paragraph" w:styleId="Heading5">
    <w:name w:val="heading 5"/>
    <w:basedOn w:val="Normal"/>
    <w:next w:val="Normal"/>
    <w:qFormat/>
    <w:pPr>
      <w:keepNext/>
      <w:spacing w:line="360" w:lineRule="auto"/>
      <w:jc w:val="both"/>
      <w:outlineLvl w:val="4"/>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sz w:val="28"/>
    </w:rPr>
  </w:style>
  <w:style w:type="paragraph" w:styleId="BodyTextIndent">
    <w:name w:val="Body Text Indent"/>
    <w:basedOn w:val="Normal"/>
    <w:pPr>
      <w:spacing w:line="360" w:lineRule="auto"/>
      <w:ind w:left="1080"/>
      <w:jc w:val="both"/>
    </w:pPr>
    <w:rPr>
      <w:sz w:val="28"/>
    </w:rPr>
  </w:style>
  <w:style w:type="paragraph" w:styleId="BodyTextIndent2">
    <w:name w:val="Body Text Indent 2"/>
    <w:basedOn w:val="Normal"/>
    <w:pPr>
      <w:ind w:left="1080"/>
    </w:pPr>
  </w:style>
  <w:style w:type="paragraph" w:styleId="ListParagraph">
    <w:name w:val="List Paragraph"/>
    <w:basedOn w:val="Normal"/>
    <w:qFormat/>
    <w:pPr>
      <w:ind w:left="720"/>
    </w:pPr>
  </w:style>
  <w:style w:type="paragraph" w:styleId="BodyText2">
    <w:name w:val="Body Text 2"/>
    <w:basedOn w:val="Normal"/>
    <w:pPr>
      <w:spacing w:line="360" w:lineRule="auto"/>
      <w:jc w:val="both"/>
    </w:pPr>
  </w:style>
  <w:style w:type="paragraph" w:styleId="BodyText3">
    <w:name w:val="Body Text 3"/>
    <w:basedOn w:val="Normal"/>
    <w:pPr>
      <w:spacing w:line="360" w:lineRule="auto"/>
      <w:jc w:val="both"/>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Primary aldosteronism in diabetic subjects with resistant hyperetension</vt:lpstr>
    </vt:vector>
  </TitlesOfParts>
  <Company>LUHT</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aldosteronism in diabetic subjects with resistant hyperetension</dc:title>
  <dc:creator>LUHT</dc:creator>
  <cp:lastModifiedBy>Fraser Gibb</cp:lastModifiedBy>
  <cp:revision>2</cp:revision>
  <cp:lastPrinted>2008-02-12T17:00:00Z</cp:lastPrinted>
  <dcterms:created xsi:type="dcterms:W3CDTF">2021-10-25T12:43:00Z</dcterms:created>
  <dcterms:modified xsi:type="dcterms:W3CDTF">2021-10-25T12:43:00Z</dcterms:modified>
</cp:coreProperties>
</file>