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210"/>
        <w:gridCol w:w="2804"/>
        <w:gridCol w:w="1681"/>
        <w:gridCol w:w="3047"/>
      </w:tblGrid>
      <w:tr w:rsidR="004F07C6" w:rsidRPr="00203E66" w:rsidTr="00212041">
        <w:trPr>
          <w:trHeight w:val="567"/>
        </w:trPr>
        <w:tc>
          <w:tcPr>
            <w:tcW w:w="5000" w:type="pct"/>
            <w:gridSpan w:val="4"/>
            <w:vAlign w:val="center"/>
          </w:tcPr>
          <w:p w:rsidR="004F07C6" w:rsidRPr="004F07C6" w:rsidRDefault="00670E2B" w:rsidP="002A2CD0">
            <w:pPr>
              <w:spacing w:after="120"/>
              <w:rPr>
                <w:rFonts w:asciiTheme="minorHAnsi" w:hAnsiTheme="minorHAnsi" w:cs="Arial"/>
                <w:sz w:val="24"/>
                <w:szCs w:val="24"/>
              </w:rPr>
            </w:pPr>
            <w:r>
              <w:rPr>
                <w:rFonts w:asciiTheme="minorHAnsi" w:hAnsiTheme="minorHAnsi" w:cs="Arial"/>
                <w:sz w:val="24"/>
                <w:szCs w:val="24"/>
              </w:rPr>
              <w:t>P</w:t>
            </w:r>
            <w:r w:rsidR="006405E9">
              <w:rPr>
                <w:rFonts w:asciiTheme="minorHAnsi" w:hAnsiTheme="minorHAnsi" w:cs="Arial"/>
                <w:sz w:val="24"/>
                <w:szCs w:val="24"/>
              </w:rPr>
              <w:t>aediatric guideline</w:t>
            </w:r>
            <w:r w:rsidR="00984037">
              <w:rPr>
                <w:rFonts w:asciiTheme="minorHAnsi" w:hAnsiTheme="minorHAnsi" w:cs="Arial"/>
                <w:sz w:val="24"/>
                <w:szCs w:val="24"/>
              </w:rPr>
              <w:t xml:space="preserve"> for</w:t>
            </w:r>
            <w:r w:rsidR="006A444E">
              <w:rPr>
                <w:rFonts w:asciiTheme="minorHAnsi" w:hAnsiTheme="minorHAnsi" w:cs="Arial"/>
                <w:sz w:val="24"/>
                <w:szCs w:val="24"/>
              </w:rPr>
              <w:t xml:space="preserve"> the administration of zole</w:t>
            </w:r>
            <w:r>
              <w:rPr>
                <w:rFonts w:asciiTheme="minorHAnsi" w:hAnsiTheme="minorHAnsi" w:cs="Arial"/>
                <w:sz w:val="24"/>
                <w:szCs w:val="24"/>
              </w:rPr>
              <w:t>dronic acid.</w:t>
            </w:r>
          </w:p>
          <w:sdt>
            <w:sdtPr>
              <w:rPr>
                <w:rFonts w:asciiTheme="minorHAnsi" w:hAnsiTheme="minorHAnsi" w:cs="Arial"/>
                <w:sz w:val="24"/>
                <w:szCs w:val="24"/>
              </w:rPr>
              <w:id w:val="226537528"/>
              <w:placeholder>
                <w:docPart w:val="8F27B71127AF46818772CF39C53E133E"/>
              </w:placeholder>
            </w:sdtPr>
            <w:sdtEndPr/>
            <w:sdtContent>
              <w:p w:rsidR="004F07C6" w:rsidRPr="00212041" w:rsidRDefault="004F07C6" w:rsidP="00CA377B">
                <w:pPr>
                  <w:jc w:val="both"/>
                  <w:rPr>
                    <w:rFonts w:asciiTheme="minorHAnsi" w:hAnsiTheme="minorHAnsi" w:cs="Arial"/>
                    <w:bCs/>
                    <w:sz w:val="44"/>
                    <w:szCs w:val="44"/>
                  </w:rPr>
                </w:pPr>
              </w:p>
              <w:p w:rsidR="004F07C6" w:rsidRPr="004F07C6" w:rsidRDefault="008D7C4D" w:rsidP="002A2CD0">
                <w:pPr>
                  <w:jc w:val="center"/>
                  <w:rPr>
                    <w:rFonts w:asciiTheme="minorHAnsi" w:hAnsiTheme="minorHAnsi" w:cs="Arial"/>
                    <w:sz w:val="24"/>
                    <w:szCs w:val="24"/>
                  </w:rPr>
                </w:pPr>
              </w:p>
            </w:sdtContent>
          </w:sdt>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Date effective from:</w:t>
            </w:r>
          </w:p>
        </w:tc>
        <w:sdt>
          <w:sdtPr>
            <w:rPr>
              <w:rFonts w:asciiTheme="minorHAnsi" w:hAnsiTheme="minorHAnsi" w:cs="Arial"/>
              <w:sz w:val="24"/>
              <w:szCs w:val="24"/>
            </w:rPr>
            <w:id w:val="86141041"/>
            <w:placeholder>
              <w:docPart w:val="CD33A7EFF53A428AAE686ADB60F9FBEE"/>
            </w:placeholder>
            <w:date w:fullDate="2021-10-06T00:00:00Z">
              <w:dateFormat w:val="dd/MM/yyyy"/>
              <w:lid w:val="en-GB"/>
              <w:storeMappedDataAs w:val="dateTime"/>
              <w:calendar w:val="gregorian"/>
            </w:date>
          </w:sdtPr>
          <w:sdtEndPr/>
          <w:sdtContent>
            <w:tc>
              <w:tcPr>
                <w:tcW w:w="1439" w:type="pct"/>
                <w:vAlign w:val="center"/>
              </w:tcPr>
              <w:p w:rsidR="004F07C6" w:rsidRPr="004F07C6" w:rsidRDefault="001F751E" w:rsidP="00670E2B">
                <w:pPr>
                  <w:rPr>
                    <w:rFonts w:asciiTheme="minorHAnsi" w:hAnsiTheme="minorHAnsi" w:cs="Arial"/>
                    <w:sz w:val="24"/>
                    <w:szCs w:val="24"/>
                  </w:rPr>
                </w:pPr>
                <w:r>
                  <w:rPr>
                    <w:rFonts w:asciiTheme="minorHAnsi" w:hAnsiTheme="minorHAnsi" w:cs="Arial"/>
                    <w:sz w:val="24"/>
                    <w:szCs w:val="24"/>
                  </w:rPr>
                  <w:t>06/10/2021</w:t>
                </w:r>
              </w:p>
            </w:tc>
          </w:sdtContent>
        </w:sdt>
        <w:tc>
          <w:tcPr>
            <w:tcW w:w="863" w:type="pct"/>
            <w:vAlign w:val="center"/>
          </w:tcPr>
          <w:p w:rsidR="004F07C6" w:rsidRPr="004F07C6" w:rsidRDefault="004F07C6" w:rsidP="002A2CD0">
            <w:pPr>
              <w:jc w:val="right"/>
              <w:rPr>
                <w:rFonts w:asciiTheme="minorHAnsi" w:hAnsiTheme="minorHAnsi" w:cs="Arial"/>
                <w:b/>
                <w:sz w:val="24"/>
                <w:szCs w:val="24"/>
              </w:rPr>
            </w:pPr>
            <w:r w:rsidRPr="004F07C6">
              <w:rPr>
                <w:rFonts w:asciiTheme="minorHAnsi" w:hAnsiTheme="minorHAnsi" w:cs="Arial"/>
                <w:b/>
                <w:sz w:val="24"/>
                <w:szCs w:val="24"/>
              </w:rPr>
              <w:t>Review date:</w:t>
            </w:r>
          </w:p>
        </w:tc>
        <w:sdt>
          <w:sdtPr>
            <w:rPr>
              <w:rFonts w:asciiTheme="minorHAnsi" w:hAnsiTheme="minorHAnsi" w:cs="Arial"/>
              <w:sz w:val="24"/>
              <w:szCs w:val="24"/>
            </w:rPr>
            <w:id w:val="226537527"/>
            <w:placeholder>
              <w:docPart w:val="378AF62B3F36492EAF43E9C19D947568"/>
            </w:placeholder>
            <w:date w:fullDate="2024-10-06T00:00:00Z">
              <w:dateFormat w:val="dd/MM/yyyy"/>
              <w:lid w:val="en-GB"/>
              <w:storeMappedDataAs w:val="dateTime"/>
              <w:calendar w:val="gregorian"/>
            </w:date>
          </w:sdtPr>
          <w:sdtEndPr/>
          <w:sdtContent>
            <w:tc>
              <w:tcPr>
                <w:tcW w:w="1564" w:type="pct"/>
                <w:vAlign w:val="center"/>
              </w:tcPr>
              <w:p w:rsidR="004F07C6" w:rsidRPr="004F07C6" w:rsidRDefault="001F751E" w:rsidP="00096260">
                <w:pPr>
                  <w:rPr>
                    <w:rFonts w:asciiTheme="minorHAnsi" w:hAnsiTheme="minorHAnsi" w:cs="Arial"/>
                    <w:sz w:val="24"/>
                    <w:szCs w:val="24"/>
                  </w:rPr>
                </w:pPr>
                <w:r>
                  <w:rPr>
                    <w:rFonts w:asciiTheme="minorHAnsi" w:hAnsiTheme="minorHAnsi" w:cs="Arial"/>
                    <w:sz w:val="24"/>
                    <w:szCs w:val="24"/>
                  </w:rPr>
                  <w:t>06/10/2024</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Approved by:</w:t>
            </w:r>
          </w:p>
        </w:tc>
        <w:tc>
          <w:tcPr>
            <w:tcW w:w="3866" w:type="pct"/>
            <w:gridSpan w:val="3"/>
            <w:vAlign w:val="center"/>
          </w:tcPr>
          <w:p w:rsidR="004F07C6" w:rsidRPr="004F07C6" w:rsidRDefault="001F751E" w:rsidP="002A2CD0">
            <w:pPr>
              <w:rPr>
                <w:rFonts w:asciiTheme="minorHAnsi" w:hAnsiTheme="minorHAnsi" w:cs="Arial"/>
                <w:sz w:val="24"/>
                <w:szCs w:val="24"/>
              </w:rPr>
            </w:pPr>
            <w:r>
              <w:rPr>
                <w:rFonts w:asciiTheme="minorHAnsi" w:hAnsiTheme="minorHAnsi" w:cs="Arial"/>
                <w:sz w:val="24"/>
                <w:szCs w:val="24"/>
              </w:rPr>
              <w:t>P&amp;N D&amp;T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Approval Date:</w:t>
            </w:r>
          </w:p>
        </w:tc>
        <w:sdt>
          <w:sdtPr>
            <w:rPr>
              <w:rFonts w:asciiTheme="minorHAnsi" w:hAnsiTheme="minorHAnsi" w:cs="Arial"/>
              <w:sz w:val="24"/>
              <w:szCs w:val="24"/>
            </w:rPr>
            <w:id w:val="86141042"/>
            <w:placeholder>
              <w:docPart w:val="7D239FA9BB494EA089D050FB8890909D"/>
            </w:placeholder>
            <w:date w:fullDate="2021-10-06T00:00:00Z">
              <w:dateFormat w:val="dd/MM/yyyy"/>
              <w:lid w:val="en-GB"/>
              <w:storeMappedDataAs w:val="dateTime"/>
              <w:calendar w:val="gregorian"/>
            </w:date>
          </w:sdtPr>
          <w:sdtEndPr/>
          <w:sdtContent>
            <w:tc>
              <w:tcPr>
                <w:tcW w:w="3866" w:type="pct"/>
                <w:gridSpan w:val="3"/>
                <w:vAlign w:val="center"/>
              </w:tcPr>
              <w:p w:rsidR="004F07C6" w:rsidRPr="004F07C6" w:rsidRDefault="001F751E" w:rsidP="002A2CD0">
                <w:pPr>
                  <w:rPr>
                    <w:rFonts w:asciiTheme="minorHAnsi" w:hAnsiTheme="minorHAnsi" w:cs="Arial"/>
                    <w:sz w:val="24"/>
                    <w:szCs w:val="24"/>
                  </w:rPr>
                </w:pPr>
                <w:r>
                  <w:rPr>
                    <w:rFonts w:asciiTheme="minorHAnsi" w:hAnsiTheme="minorHAnsi" w:cs="Arial"/>
                    <w:sz w:val="24"/>
                    <w:szCs w:val="24"/>
                  </w:rPr>
                  <w:t>06/10/2021</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Author/s:</w:t>
            </w:r>
          </w:p>
        </w:tc>
        <w:tc>
          <w:tcPr>
            <w:tcW w:w="3866" w:type="pct"/>
            <w:gridSpan w:val="3"/>
            <w:vAlign w:val="center"/>
          </w:tcPr>
          <w:p w:rsidR="006D4EF0" w:rsidRDefault="005C0802" w:rsidP="002A2CD0">
            <w:pPr>
              <w:rPr>
                <w:rFonts w:asciiTheme="minorHAnsi" w:hAnsiTheme="minorHAnsi" w:cs="Arial"/>
                <w:sz w:val="24"/>
                <w:szCs w:val="24"/>
              </w:rPr>
            </w:pPr>
            <w:r>
              <w:rPr>
                <w:rFonts w:asciiTheme="minorHAnsi" w:hAnsiTheme="minorHAnsi" w:cs="Arial"/>
                <w:sz w:val="24"/>
                <w:szCs w:val="24"/>
              </w:rPr>
              <w:t>Dr Louise Bath, Dr Har</w:t>
            </w:r>
            <w:r w:rsidR="006405E9">
              <w:rPr>
                <w:rFonts w:asciiTheme="minorHAnsi" w:hAnsiTheme="minorHAnsi" w:cs="Arial"/>
                <w:sz w:val="24"/>
                <w:szCs w:val="24"/>
              </w:rPr>
              <w:t>riet Miles, Dr Daniela Elleri, Consultant Paediatric E</w:t>
            </w:r>
            <w:r w:rsidR="006D4EF0">
              <w:rPr>
                <w:rFonts w:asciiTheme="minorHAnsi" w:hAnsiTheme="minorHAnsi" w:cs="Arial"/>
                <w:sz w:val="24"/>
                <w:szCs w:val="24"/>
              </w:rPr>
              <w:t>ndocrin</w:t>
            </w:r>
            <w:r w:rsidR="005D2D1A">
              <w:rPr>
                <w:rFonts w:asciiTheme="minorHAnsi" w:hAnsiTheme="minorHAnsi" w:cs="Arial"/>
                <w:sz w:val="24"/>
                <w:szCs w:val="24"/>
              </w:rPr>
              <w:t>ologist</w:t>
            </w:r>
            <w:r>
              <w:rPr>
                <w:rFonts w:asciiTheme="minorHAnsi" w:hAnsiTheme="minorHAnsi" w:cs="Arial"/>
                <w:sz w:val="24"/>
                <w:szCs w:val="24"/>
              </w:rPr>
              <w:t>s.</w:t>
            </w:r>
          </w:p>
          <w:p w:rsidR="004F07C6" w:rsidRDefault="006405E9" w:rsidP="002A2CD0">
            <w:pPr>
              <w:rPr>
                <w:rFonts w:asciiTheme="minorHAnsi" w:hAnsiTheme="minorHAnsi" w:cs="Arial"/>
                <w:sz w:val="24"/>
                <w:szCs w:val="24"/>
              </w:rPr>
            </w:pPr>
            <w:r>
              <w:rPr>
                <w:rFonts w:asciiTheme="minorHAnsi" w:hAnsiTheme="minorHAnsi" w:cs="Arial"/>
                <w:sz w:val="24"/>
                <w:szCs w:val="24"/>
              </w:rPr>
              <w:t>Dr Kathryn Macgill, Paediatric R</w:t>
            </w:r>
            <w:r w:rsidR="005D2D1A">
              <w:rPr>
                <w:rFonts w:asciiTheme="minorHAnsi" w:hAnsiTheme="minorHAnsi" w:cs="Arial"/>
                <w:sz w:val="24"/>
                <w:szCs w:val="24"/>
              </w:rPr>
              <w:t>egistrar</w:t>
            </w:r>
            <w:r w:rsidR="005C0802">
              <w:rPr>
                <w:rFonts w:asciiTheme="minorHAnsi" w:hAnsiTheme="minorHAnsi" w:cs="Arial"/>
                <w:sz w:val="24"/>
                <w:szCs w:val="24"/>
              </w:rPr>
              <w:t>.</w:t>
            </w:r>
          </w:p>
          <w:p w:rsidR="00670E2B" w:rsidRPr="004F07C6" w:rsidRDefault="006405E9" w:rsidP="005D2D1A">
            <w:pPr>
              <w:rPr>
                <w:rFonts w:asciiTheme="minorHAnsi" w:hAnsiTheme="minorHAnsi" w:cs="Arial"/>
                <w:sz w:val="24"/>
                <w:szCs w:val="24"/>
              </w:rPr>
            </w:pPr>
            <w:r>
              <w:rPr>
                <w:rFonts w:asciiTheme="minorHAnsi" w:hAnsiTheme="minorHAnsi" w:cs="Arial"/>
                <w:sz w:val="24"/>
                <w:szCs w:val="24"/>
              </w:rPr>
              <w:t>Emilie Tennant, Senior Clinical P</w:t>
            </w:r>
            <w:r w:rsidR="00670E2B">
              <w:rPr>
                <w:rFonts w:asciiTheme="minorHAnsi" w:hAnsiTheme="minorHAnsi" w:cs="Arial"/>
                <w:sz w:val="24"/>
                <w:szCs w:val="24"/>
              </w:rPr>
              <w:t>harmac</w:t>
            </w:r>
            <w:r w:rsidR="005D2D1A">
              <w:rPr>
                <w:rFonts w:asciiTheme="minorHAnsi" w:hAnsiTheme="minorHAnsi" w:cs="Arial"/>
                <w:sz w:val="24"/>
                <w:szCs w:val="24"/>
              </w:rPr>
              <w:t>ist</w:t>
            </w:r>
            <w:r w:rsidR="005C0802">
              <w:rPr>
                <w:rFonts w:asciiTheme="minorHAnsi" w:hAnsiTheme="minorHAnsi" w:cs="Arial"/>
                <w:sz w:val="24"/>
                <w:szCs w:val="24"/>
              </w:rPr>
              <w: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Executive Lead:</w:t>
            </w:r>
          </w:p>
        </w:tc>
        <w:tc>
          <w:tcPr>
            <w:tcW w:w="3866" w:type="pct"/>
            <w:gridSpan w:val="3"/>
            <w:vAlign w:val="center"/>
          </w:tcPr>
          <w:p w:rsidR="004F07C6" w:rsidRPr="004F07C6" w:rsidRDefault="001F751E" w:rsidP="002A2CD0">
            <w:pPr>
              <w:rPr>
                <w:rFonts w:asciiTheme="minorHAnsi" w:hAnsiTheme="minorHAnsi" w:cs="Arial"/>
                <w:sz w:val="24"/>
                <w:szCs w:val="24"/>
              </w:rPr>
            </w:pPr>
            <w:r>
              <w:rPr>
                <w:rFonts w:asciiTheme="minorHAnsi" w:hAnsiTheme="minorHAnsi" w:cs="Arial"/>
                <w:sz w:val="24"/>
                <w:szCs w:val="24"/>
              </w:rPr>
              <w:t>Dr Edward Doyle</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Target Audience:</w:t>
            </w:r>
          </w:p>
        </w:tc>
        <w:tc>
          <w:tcPr>
            <w:tcW w:w="3866" w:type="pct"/>
            <w:gridSpan w:val="3"/>
            <w:vAlign w:val="center"/>
          </w:tcPr>
          <w:p w:rsidR="004F07C6" w:rsidRPr="004F07C6" w:rsidRDefault="00670E2B" w:rsidP="001C39B7">
            <w:pPr>
              <w:rPr>
                <w:rFonts w:asciiTheme="minorHAnsi" w:hAnsiTheme="minorHAnsi" w:cs="Arial"/>
                <w:sz w:val="24"/>
                <w:szCs w:val="24"/>
              </w:rPr>
            </w:pPr>
            <w:r>
              <w:rPr>
                <w:rFonts w:asciiTheme="minorHAnsi" w:hAnsiTheme="minorHAnsi" w:cs="Arial"/>
                <w:sz w:val="24"/>
                <w:szCs w:val="24"/>
              </w:rPr>
              <w:t>Medical, nursing and pharmacy staff</w:t>
            </w:r>
            <w:r w:rsidR="00A33484">
              <w:rPr>
                <w:rFonts w:asciiTheme="minorHAnsi" w:hAnsiTheme="minorHAnsi" w:cs="Arial"/>
                <w:sz w:val="24"/>
                <w:szCs w:val="24"/>
              </w:rPr>
              <w:t xml:space="preserve"> involved in </w:t>
            </w:r>
            <w:r w:rsidR="009C51F7">
              <w:rPr>
                <w:rFonts w:asciiTheme="minorHAnsi" w:hAnsiTheme="minorHAnsi" w:cs="Arial"/>
                <w:sz w:val="24"/>
                <w:szCs w:val="24"/>
              </w:rPr>
              <w:t xml:space="preserve">the prescribing and </w:t>
            </w:r>
            <w:r w:rsidR="006A444E">
              <w:rPr>
                <w:rFonts w:asciiTheme="minorHAnsi" w:hAnsiTheme="minorHAnsi" w:cs="Arial"/>
                <w:sz w:val="24"/>
                <w:szCs w:val="24"/>
              </w:rPr>
              <w:t>administration of zole</w:t>
            </w:r>
            <w:r w:rsidR="00A33484">
              <w:rPr>
                <w:rFonts w:asciiTheme="minorHAnsi" w:hAnsiTheme="minorHAnsi" w:cs="Arial"/>
                <w:sz w:val="24"/>
                <w:szCs w:val="24"/>
              </w:rPr>
              <w:t>dronic acid infusions to paediatric patient</w:t>
            </w:r>
            <w:r w:rsidR="001C39B7">
              <w:rPr>
                <w:rFonts w:asciiTheme="minorHAnsi" w:hAnsiTheme="minorHAnsi" w:cs="Arial"/>
                <w:sz w:val="24"/>
                <w:szCs w:val="24"/>
              </w:rPr>
              <w:t>s.</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Supersedes:</w:t>
            </w:r>
          </w:p>
        </w:tc>
        <w:tc>
          <w:tcPr>
            <w:tcW w:w="3866" w:type="pct"/>
            <w:gridSpan w:val="3"/>
            <w:vAlign w:val="center"/>
          </w:tcPr>
          <w:p w:rsidR="004F07C6" w:rsidRPr="004F07C6" w:rsidRDefault="00670E2B" w:rsidP="002A2CD0">
            <w:pPr>
              <w:rPr>
                <w:rFonts w:asciiTheme="minorHAnsi" w:hAnsiTheme="minorHAnsi" w:cs="Arial"/>
                <w:sz w:val="24"/>
                <w:szCs w:val="24"/>
              </w:rPr>
            </w:pPr>
            <w:r>
              <w:rPr>
                <w:rFonts w:asciiTheme="minorHAnsi" w:hAnsiTheme="minorHAnsi" w:cs="Arial"/>
                <w:sz w:val="24"/>
                <w:szCs w:val="24"/>
              </w:rPr>
              <w:t>Protocol for the administration of z</w:t>
            </w:r>
            <w:r w:rsidR="006A444E">
              <w:rPr>
                <w:rFonts w:asciiTheme="minorHAnsi" w:hAnsiTheme="minorHAnsi" w:cs="Arial"/>
                <w:sz w:val="24"/>
                <w:szCs w:val="24"/>
              </w:rPr>
              <w:t>ole</w:t>
            </w:r>
            <w:r>
              <w:rPr>
                <w:rFonts w:asciiTheme="minorHAnsi" w:hAnsiTheme="minorHAnsi" w:cs="Arial"/>
                <w:sz w:val="24"/>
                <w:szCs w:val="24"/>
              </w:rPr>
              <w:t>dronic acid V2 Sept 2015</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Keywords</w:t>
            </w:r>
            <w:r w:rsidR="001D1574">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3866" w:type="pct"/>
            <w:gridSpan w:val="3"/>
            <w:vAlign w:val="center"/>
          </w:tcPr>
          <w:p w:rsidR="004F07C6" w:rsidRPr="004F07C6" w:rsidRDefault="006A444E" w:rsidP="005D2D1A">
            <w:pPr>
              <w:rPr>
                <w:rFonts w:asciiTheme="minorHAnsi" w:hAnsiTheme="minorHAnsi" w:cs="Arial"/>
                <w:sz w:val="24"/>
                <w:szCs w:val="24"/>
              </w:rPr>
            </w:pPr>
            <w:r>
              <w:rPr>
                <w:rFonts w:asciiTheme="minorHAnsi" w:hAnsiTheme="minorHAnsi" w:cs="Arial"/>
                <w:sz w:val="24"/>
                <w:szCs w:val="24"/>
              </w:rPr>
              <w:t>Bisphosph</w:t>
            </w:r>
            <w:r w:rsidR="005D2D1A">
              <w:rPr>
                <w:rFonts w:asciiTheme="minorHAnsi" w:hAnsiTheme="minorHAnsi" w:cs="Arial"/>
                <w:sz w:val="24"/>
                <w:szCs w:val="24"/>
              </w:rPr>
              <w:t>onates, metabolic bone disease</w:t>
            </w:r>
            <w:r w:rsidR="006D4EF0">
              <w:rPr>
                <w:rFonts w:asciiTheme="minorHAnsi" w:hAnsiTheme="minorHAnsi" w:cs="Arial"/>
                <w:sz w:val="24"/>
                <w:szCs w:val="24"/>
              </w:rPr>
              <w:t xml:space="preserve">, bone </w:t>
            </w:r>
            <w:r w:rsidR="00D15A3A">
              <w:rPr>
                <w:rFonts w:asciiTheme="minorHAnsi" w:hAnsiTheme="minorHAnsi" w:cs="Arial"/>
                <w:sz w:val="24"/>
                <w:szCs w:val="24"/>
              </w:rPr>
              <w:t>mineral density.</w:t>
            </w:r>
          </w:p>
        </w:tc>
      </w:tr>
    </w:tbl>
    <w:p w:rsidR="00CC5636" w:rsidRPr="00212041" w:rsidRDefault="00CC5636">
      <w:pPr>
        <w:rPr>
          <w:sz w:val="24"/>
          <w:szCs w:val="24"/>
        </w:rPr>
      </w:pPr>
    </w:p>
    <w:p w:rsidR="00CC5636" w:rsidRDefault="00CC5636">
      <w:r>
        <w:br w:type="page"/>
      </w:r>
    </w:p>
    <w:p w:rsidR="00212041" w:rsidRPr="00874D25" w:rsidRDefault="00212041" w:rsidP="00212041">
      <w:pPr>
        <w:spacing w:before="360" w:after="240"/>
        <w:rPr>
          <w:rFonts w:asciiTheme="minorHAnsi" w:hAnsiTheme="minorHAnsi" w:cs="Arial"/>
          <w:color w:val="092869"/>
          <w:sz w:val="32"/>
          <w:szCs w:val="32"/>
        </w:rPr>
      </w:pPr>
      <w:r w:rsidRPr="00874D25">
        <w:rPr>
          <w:rFonts w:asciiTheme="minorHAnsi" w:hAnsiTheme="minorHAnsi" w:cs="Arial"/>
          <w:color w:val="092869"/>
          <w:sz w:val="32"/>
          <w:szCs w:val="32"/>
        </w:rPr>
        <w:lastRenderedPageBreak/>
        <w:t>Version Control</w:t>
      </w: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204"/>
        <w:gridCol w:w="3739"/>
        <w:gridCol w:w="1691"/>
        <w:gridCol w:w="3220"/>
      </w:tblGrid>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Date</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Author</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Version/Page</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Reason for change</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84037" w:rsidP="002A2CD0">
            <w:pPr>
              <w:rPr>
                <w:rFonts w:asciiTheme="minorHAnsi" w:hAnsiTheme="minorHAnsi" w:cs="Arial"/>
                <w:sz w:val="24"/>
                <w:szCs w:val="24"/>
              </w:rPr>
            </w:pPr>
            <w:r>
              <w:rPr>
                <w:rFonts w:asciiTheme="minorHAnsi" w:hAnsiTheme="minorHAnsi" w:cs="Arial"/>
                <w:sz w:val="24"/>
                <w:szCs w:val="24"/>
              </w:rPr>
              <w:t>06/2018</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84037" w:rsidP="002A2CD0">
            <w:pPr>
              <w:rPr>
                <w:rFonts w:asciiTheme="minorHAnsi" w:hAnsiTheme="minorHAnsi" w:cs="Arial"/>
                <w:sz w:val="24"/>
                <w:szCs w:val="24"/>
              </w:rPr>
            </w:pPr>
            <w:r>
              <w:rPr>
                <w:rFonts w:asciiTheme="minorHAnsi" w:hAnsiTheme="minorHAnsi" w:cs="Arial"/>
                <w:sz w:val="24"/>
                <w:szCs w:val="24"/>
              </w:rPr>
              <w:t xml:space="preserve">Louise Bath </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40627" w:rsidRPr="004C2CF0" w:rsidRDefault="00984037" w:rsidP="002A2CD0">
            <w:pPr>
              <w:rPr>
                <w:rFonts w:asciiTheme="minorHAnsi" w:hAnsiTheme="minorHAnsi" w:cs="Arial"/>
                <w:sz w:val="24"/>
                <w:szCs w:val="24"/>
              </w:rPr>
            </w:pPr>
            <w:r>
              <w:rPr>
                <w:rFonts w:asciiTheme="minorHAnsi" w:hAnsiTheme="minorHAnsi" w:cs="Arial"/>
                <w:sz w:val="24"/>
                <w:szCs w:val="24"/>
              </w:rPr>
              <w:t xml:space="preserve">Issued June 2018  </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84037" w:rsidP="002A2CD0">
            <w:pPr>
              <w:rPr>
                <w:rFonts w:asciiTheme="minorHAnsi" w:hAnsiTheme="minorHAnsi" w:cs="Arial"/>
                <w:sz w:val="24"/>
                <w:szCs w:val="24"/>
              </w:rPr>
            </w:pPr>
            <w:r>
              <w:rPr>
                <w:rFonts w:asciiTheme="minorHAnsi" w:hAnsiTheme="minorHAnsi" w:cs="Arial"/>
                <w:sz w:val="24"/>
                <w:szCs w:val="24"/>
              </w:rPr>
              <w:t xml:space="preserve">Due for review </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791C95">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bl>
    <w:p w:rsidR="00CA377B" w:rsidRDefault="00CA377B" w:rsidP="002A2CD0">
      <w:pPr>
        <w:spacing w:after="0" w:line="240" w:lineRule="auto"/>
        <w:rPr>
          <w:sz w:val="32"/>
          <w:szCs w:val="32"/>
        </w:rPr>
      </w:pPr>
    </w:p>
    <w:p w:rsidR="00064A0D" w:rsidRPr="00874D25" w:rsidRDefault="00CC5636" w:rsidP="00212041">
      <w:pPr>
        <w:rPr>
          <w:color w:val="092869"/>
          <w:sz w:val="40"/>
          <w:szCs w:val="40"/>
        </w:rPr>
      </w:pPr>
      <w:r>
        <w:rPr>
          <w:color w:val="1F497D" w:themeColor="text2"/>
          <w:sz w:val="48"/>
          <w:szCs w:val="48"/>
        </w:rPr>
        <w:br w:type="page"/>
      </w:r>
      <w:r w:rsidR="00FA4279" w:rsidRPr="00874D25">
        <w:rPr>
          <w:color w:val="092869"/>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578"/>
        <w:gridCol w:w="1855"/>
        <w:gridCol w:w="1510"/>
      </w:tblGrid>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BB28E5" w:rsidRDefault="00A31F6F" w:rsidP="00212041">
            <w:pPr>
              <w:jc w:val="center"/>
              <w:rPr>
                <w:rFonts w:asciiTheme="minorHAnsi" w:hAnsiTheme="minorHAnsi"/>
                <w:sz w:val="24"/>
                <w:szCs w:val="24"/>
              </w:rPr>
            </w:pPr>
            <w:r w:rsidRPr="00BB28E5">
              <w:rPr>
                <w:rFonts w:asciiTheme="minorHAnsi" w:hAnsiTheme="minorHAnsi"/>
                <w:sz w:val="24"/>
                <w:szCs w:val="24"/>
              </w:rPr>
              <w:t>Page number</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1.0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Purpose</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2.0</w:t>
            </w:r>
          </w:p>
        </w:tc>
        <w:tc>
          <w:tcPr>
            <w:tcW w:w="7623" w:type="dxa"/>
            <w:gridSpan w:val="2"/>
            <w:tcBorders>
              <w:bottom w:val="single" w:sz="12" w:space="0" w:color="0391BF"/>
            </w:tcBorders>
            <w:vAlign w:val="center"/>
          </w:tcPr>
          <w:p w:rsidR="00A31F6F" w:rsidRPr="00212041" w:rsidRDefault="001D1574" w:rsidP="001D1574">
            <w:pPr>
              <w:rPr>
                <w:rFonts w:asciiTheme="minorHAnsi" w:hAnsiTheme="minorHAnsi"/>
                <w:sz w:val="28"/>
                <w:szCs w:val="28"/>
              </w:rPr>
            </w:pPr>
            <w:r w:rsidRPr="00212041">
              <w:rPr>
                <w:rFonts w:asciiTheme="minorHAnsi" w:hAnsiTheme="minorHAnsi"/>
                <w:sz w:val="28"/>
                <w:szCs w:val="28"/>
              </w:rPr>
              <w:t>Scope</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3.0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Definitions</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4.0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Roles and responsibilities</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5.0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Main content</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5 -7</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6.0</w:t>
            </w:r>
          </w:p>
        </w:tc>
        <w:tc>
          <w:tcPr>
            <w:tcW w:w="7623" w:type="dxa"/>
            <w:gridSpan w:val="2"/>
            <w:tcBorders>
              <w:bottom w:val="single" w:sz="12" w:space="0" w:color="0391BF"/>
            </w:tcBorders>
            <w:vAlign w:val="center"/>
          </w:tcPr>
          <w:p w:rsidR="00A31F6F" w:rsidRPr="00212041" w:rsidRDefault="002727BA" w:rsidP="00212041">
            <w:pPr>
              <w:rPr>
                <w:rFonts w:asciiTheme="minorHAnsi" w:hAnsiTheme="minorHAnsi"/>
                <w:sz w:val="28"/>
                <w:szCs w:val="28"/>
              </w:rPr>
            </w:pPr>
            <w:r w:rsidRPr="00212041">
              <w:rPr>
                <w:rFonts w:asciiTheme="minorHAnsi" w:hAnsiTheme="minorHAnsi"/>
                <w:sz w:val="28"/>
                <w:szCs w:val="28"/>
              </w:rPr>
              <w:t xml:space="preserve">Associated </w:t>
            </w:r>
            <w:r w:rsidR="00212041" w:rsidRPr="00212041">
              <w:rPr>
                <w:rFonts w:asciiTheme="minorHAnsi" w:hAnsiTheme="minorHAnsi"/>
                <w:sz w:val="28"/>
                <w:szCs w:val="28"/>
              </w:rPr>
              <w:t>materials</w:t>
            </w:r>
          </w:p>
        </w:tc>
        <w:tc>
          <w:tcPr>
            <w:tcW w:w="1528" w:type="dxa"/>
            <w:vAlign w:val="bottom"/>
          </w:tcPr>
          <w:p w:rsidR="00A31F6F" w:rsidRPr="00212041" w:rsidRDefault="00F30859" w:rsidP="00212041">
            <w:pPr>
              <w:jc w:val="center"/>
              <w:rPr>
                <w:rFonts w:asciiTheme="minorHAnsi" w:hAnsiTheme="minorHAnsi"/>
                <w:sz w:val="28"/>
                <w:szCs w:val="28"/>
              </w:rPr>
            </w:pPr>
            <w:r>
              <w:rPr>
                <w:rFonts w:asciiTheme="minorHAnsi" w:hAnsiTheme="minorHAnsi"/>
                <w:sz w:val="28"/>
                <w:szCs w:val="28"/>
              </w:rPr>
              <w:t>7</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7.0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Evidence base</w:t>
            </w:r>
          </w:p>
        </w:tc>
        <w:tc>
          <w:tcPr>
            <w:tcW w:w="1528" w:type="dxa"/>
            <w:vAlign w:val="bottom"/>
          </w:tcPr>
          <w:p w:rsidR="00A31F6F" w:rsidRPr="00212041" w:rsidRDefault="00F30859" w:rsidP="00212041">
            <w:pPr>
              <w:jc w:val="center"/>
              <w:rPr>
                <w:rFonts w:asciiTheme="minorHAnsi" w:hAnsiTheme="minorHAnsi"/>
                <w:sz w:val="28"/>
                <w:szCs w:val="28"/>
              </w:rPr>
            </w:pPr>
            <w:r>
              <w:rPr>
                <w:rFonts w:asciiTheme="minorHAnsi" w:hAnsiTheme="minorHAnsi"/>
                <w:sz w:val="28"/>
                <w:szCs w:val="28"/>
              </w:rPr>
              <w:t xml:space="preserve">7 - </w:t>
            </w:r>
            <w:r w:rsidR="00EF5CB9">
              <w:rPr>
                <w:rFonts w:asciiTheme="minorHAnsi" w:hAnsiTheme="minorHAnsi"/>
                <w:sz w:val="28"/>
                <w:szCs w:val="28"/>
              </w:rPr>
              <w:t>8</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8.0</w:t>
            </w:r>
          </w:p>
        </w:tc>
        <w:tc>
          <w:tcPr>
            <w:tcW w:w="7623" w:type="dxa"/>
            <w:gridSpan w:val="2"/>
            <w:tcBorders>
              <w:bottom w:val="single" w:sz="12" w:space="0" w:color="0391BF"/>
            </w:tcBorders>
            <w:vAlign w:val="center"/>
          </w:tcPr>
          <w:p w:rsidR="00A31F6F" w:rsidRPr="00212041" w:rsidRDefault="00BD4681" w:rsidP="00212041">
            <w:pPr>
              <w:rPr>
                <w:rFonts w:asciiTheme="minorHAnsi" w:hAnsiTheme="minorHAnsi"/>
                <w:sz w:val="28"/>
                <w:szCs w:val="28"/>
              </w:rPr>
            </w:pPr>
            <w:r w:rsidRPr="00212041">
              <w:rPr>
                <w:rFonts w:asciiTheme="minorHAnsi" w:hAnsiTheme="minorHAnsi"/>
                <w:sz w:val="28"/>
                <w:szCs w:val="28"/>
              </w:rPr>
              <w:t xml:space="preserve">Stakeholder </w:t>
            </w:r>
            <w:r w:rsidR="00212041" w:rsidRPr="00212041">
              <w:rPr>
                <w:rFonts w:asciiTheme="minorHAnsi" w:hAnsiTheme="minorHAnsi"/>
                <w:sz w:val="28"/>
                <w:szCs w:val="28"/>
              </w:rPr>
              <w:t>consultation</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8</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9.0</w:t>
            </w:r>
          </w:p>
        </w:tc>
        <w:tc>
          <w:tcPr>
            <w:tcW w:w="7623" w:type="dxa"/>
            <w:gridSpan w:val="2"/>
            <w:tcBorders>
              <w:bottom w:val="single" w:sz="12" w:space="0" w:color="0391BF"/>
            </w:tcBorders>
            <w:vAlign w:val="center"/>
          </w:tcPr>
          <w:p w:rsidR="00A31F6F" w:rsidRPr="00212041" w:rsidRDefault="00BD4681" w:rsidP="00FB0AC7">
            <w:pPr>
              <w:rPr>
                <w:rFonts w:asciiTheme="minorHAnsi" w:hAnsiTheme="minorHAnsi"/>
                <w:sz w:val="28"/>
                <w:szCs w:val="28"/>
              </w:rPr>
            </w:pPr>
            <w:r w:rsidRPr="00212041">
              <w:rPr>
                <w:rFonts w:asciiTheme="minorHAnsi" w:hAnsiTheme="minorHAnsi"/>
                <w:sz w:val="28"/>
                <w:szCs w:val="28"/>
              </w:rPr>
              <w:t>Monitoring and review</w:t>
            </w:r>
          </w:p>
        </w:tc>
        <w:tc>
          <w:tcPr>
            <w:tcW w:w="1528" w:type="dxa"/>
            <w:vAlign w:val="bottom"/>
          </w:tcPr>
          <w:p w:rsidR="00A31F6F" w:rsidRPr="00212041" w:rsidRDefault="00EF5CB9" w:rsidP="00212041">
            <w:pPr>
              <w:jc w:val="center"/>
              <w:rPr>
                <w:rFonts w:asciiTheme="minorHAnsi" w:hAnsiTheme="minorHAnsi"/>
                <w:sz w:val="28"/>
                <w:szCs w:val="28"/>
              </w:rPr>
            </w:pPr>
            <w:r>
              <w:rPr>
                <w:rFonts w:asciiTheme="minorHAnsi" w:hAnsiTheme="minorHAnsi"/>
                <w:sz w:val="28"/>
                <w:szCs w:val="28"/>
              </w:rPr>
              <w:t>8</w:t>
            </w:r>
          </w:p>
        </w:tc>
      </w:tr>
      <w:tr w:rsidR="00CA6F8D" w:rsidRPr="00212041" w:rsidTr="0039504A">
        <w:trPr>
          <w:trHeight w:val="454"/>
        </w:trPr>
        <w:tc>
          <w:tcPr>
            <w:tcW w:w="817" w:type="dxa"/>
            <w:vAlign w:val="center"/>
          </w:tcPr>
          <w:p w:rsidR="00CA6F8D" w:rsidRPr="00212041" w:rsidRDefault="00CA6F8D" w:rsidP="00FB0AC7">
            <w:pPr>
              <w:rPr>
                <w:rFonts w:asciiTheme="minorHAnsi" w:hAnsiTheme="minorHAnsi"/>
                <w:sz w:val="28"/>
                <w:szCs w:val="28"/>
              </w:rPr>
            </w:pPr>
          </w:p>
        </w:tc>
        <w:tc>
          <w:tcPr>
            <w:tcW w:w="5720"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903"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528" w:type="dxa"/>
            <w:vAlign w:val="center"/>
          </w:tcPr>
          <w:p w:rsidR="00CA6F8D" w:rsidRPr="00212041" w:rsidRDefault="00CA6F8D" w:rsidP="00212041">
            <w:pPr>
              <w:jc w:val="center"/>
              <w:rPr>
                <w:rFonts w:asciiTheme="minorHAnsi" w:hAnsiTheme="minorHAnsi"/>
                <w:sz w:val="28"/>
                <w:szCs w:val="28"/>
              </w:rPr>
            </w:pPr>
          </w:p>
        </w:tc>
      </w:tr>
    </w:tbl>
    <w:p w:rsidR="0026159E" w:rsidRDefault="0026159E" w:rsidP="00312864">
      <w:pPr>
        <w:rPr>
          <w:sz w:val="32"/>
          <w:szCs w:val="32"/>
        </w:rPr>
      </w:pPr>
    </w:p>
    <w:p w:rsidR="008A5C04" w:rsidRDefault="008A5C04" w:rsidP="00312864">
      <w:pPr>
        <w:rPr>
          <w:sz w:val="32"/>
          <w:szCs w:val="32"/>
        </w:rPr>
        <w:sectPr w:rsidR="008A5C04" w:rsidSect="00212041">
          <w:headerReference w:type="default" r:id="rId11"/>
          <w:footerReference w:type="default" r:id="rId12"/>
          <w:pgSz w:w="11906" w:h="16838" w:code="9"/>
          <w:pgMar w:top="2880" w:right="1077" w:bottom="284" w:left="1077" w:header="1440" w:footer="1134" w:gutter="0"/>
          <w:cols w:space="708"/>
          <w:docGrid w:linePitch="360"/>
        </w:sectPr>
      </w:pPr>
    </w:p>
    <w:p w:rsidR="00FB7A43" w:rsidRPr="00874D25" w:rsidRDefault="002E2A69" w:rsidP="00FB7A43">
      <w:pPr>
        <w:pStyle w:val="ListParagraph"/>
        <w:numPr>
          <w:ilvl w:val="0"/>
          <w:numId w:val="1"/>
        </w:numPr>
        <w:spacing w:after="240" w:line="240" w:lineRule="auto"/>
        <w:contextualSpacing w:val="0"/>
        <w:rPr>
          <w:color w:val="092869"/>
          <w:sz w:val="32"/>
          <w:szCs w:val="32"/>
        </w:rPr>
      </w:pPr>
      <w:r w:rsidRPr="00874D25">
        <w:rPr>
          <w:color w:val="092869"/>
          <w:sz w:val="32"/>
          <w:szCs w:val="32"/>
        </w:rPr>
        <w:lastRenderedPageBreak/>
        <w:t>Purpose</w:t>
      </w:r>
    </w:p>
    <w:p w:rsidR="009B3755" w:rsidRPr="009B3755" w:rsidRDefault="00D15A3A" w:rsidP="009B3755">
      <w:pPr>
        <w:pStyle w:val="Policy-MainBody"/>
      </w:pPr>
      <w:r>
        <w:t>To provide guidance</w:t>
      </w:r>
      <w:r w:rsidR="005D2D1A">
        <w:t xml:space="preserve"> to </w:t>
      </w:r>
      <w:r w:rsidR="00F4052B">
        <w:t xml:space="preserve">those involved in </w:t>
      </w:r>
      <w:r w:rsidR="003C1F3E">
        <w:t xml:space="preserve">the </w:t>
      </w:r>
      <w:r w:rsidR="005D2D1A">
        <w:t xml:space="preserve">prescribing and/or </w:t>
      </w:r>
      <w:r w:rsidR="003C1F3E">
        <w:t xml:space="preserve">administration of </w:t>
      </w:r>
      <w:r w:rsidR="006A444E">
        <w:t>zole</w:t>
      </w:r>
      <w:r w:rsidR="00F4052B">
        <w:t xml:space="preserve">dronic acid infusions to </w:t>
      </w:r>
      <w:r w:rsidR="003841AE">
        <w:t>children and young people</w:t>
      </w:r>
      <w:r w:rsidR="00F4052B">
        <w:t>.</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Scope</w:t>
      </w:r>
    </w:p>
    <w:p w:rsidR="009B3755" w:rsidRDefault="005D2D1A" w:rsidP="009B3755">
      <w:pPr>
        <w:pStyle w:val="Policy-MainBody"/>
      </w:pPr>
      <w:r>
        <w:t>The guideline will</w:t>
      </w:r>
      <w:r w:rsidR="009C51F7">
        <w:t xml:space="preserve"> be used by medical and nursing staff involved in the prescribin</w:t>
      </w:r>
      <w:r>
        <w:t xml:space="preserve">g </w:t>
      </w:r>
      <w:r w:rsidR="006A444E">
        <w:t>and administration of zole</w:t>
      </w:r>
      <w:r w:rsidR="009C51F7">
        <w:t xml:space="preserve">dronic acid infusions to paediatric patients. This will generally be those based in </w:t>
      </w:r>
      <w:proofErr w:type="spellStart"/>
      <w:r w:rsidR="00984037">
        <w:t>Dirleton</w:t>
      </w:r>
      <w:proofErr w:type="spellEnd"/>
      <w:r w:rsidR="00984037">
        <w:t xml:space="preserve"> ward at RHCYP</w:t>
      </w:r>
      <w:r w:rsidR="009C51F7">
        <w:t xml:space="preserve"> or </w:t>
      </w:r>
      <w:r>
        <w:t xml:space="preserve">occasionally </w:t>
      </w:r>
      <w:r w:rsidR="009C51F7">
        <w:t>o</w:t>
      </w:r>
      <w:r w:rsidR="00984037">
        <w:t xml:space="preserve">ther </w:t>
      </w:r>
      <w:r w:rsidR="009C51F7">
        <w:t xml:space="preserve">paediatric </w:t>
      </w:r>
      <w:r w:rsidR="00984037">
        <w:t xml:space="preserve">in-patient </w:t>
      </w:r>
      <w:r w:rsidR="009C51F7">
        <w:t>wards.</w:t>
      </w:r>
    </w:p>
    <w:p w:rsidR="005D2D1A" w:rsidRPr="009B3755" w:rsidRDefault="005D2D1A" w:rsidP="007F1517">
      <w:pPr>
        <w:pStyle w:val="Policy-MainBody"/>
      </w:pPr>
      <w:r>
        <w:t xml:space="preserve">The decision to commence bisphosphonate therapy will primarily be made by consultants in the </w:t>
      </w:r>
      <w:r w:rsidR="003841AE">
        <w:t xml:space="preserve">paediatric </w:t>
      </w:r>
      <w:r>
        <w:t xml:space="preserve">endocrinology team who are </w:t>
      </w:r>
      <w:r w:rsidR="007F1517">
        <w:t>managin</w:t>
      </w:r>
      <w:r>
        <w:t>g patients with metabolic bone disease</w:t>
      </w:r>
      <w:r w:rsidR="00E77BDE">
        <w:t>.</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Definitions</w:t>
      </w:r>
    </w:p>
    <w:p w:rsidR="003D5577" w:rsidRPr="00340627" w:rsidRDefault="00596470" w:rsidP="00340627">
      <w:pPr>
        <w:pStyle w:val="Policy-MainBody"/>
      </w:pPr>
      <w:r>
        <w:t xml:space="preserve">Metabolic bone disease is </w:t>
      </w:r>
      <w:r w:rsidR="009D6D25">
        <w:t>a</w:t>
      </w:r>
      <w:r>
        <w:t xml:space="preserve"> loss of bone mass for body siz</w:t>
      </w:r>
      <w:r w:rsidR="003D5577">
        <w:t>e, and may be caused by a variety of congenital and acquired causes</w:t>
      </w:r>
      <w:r w:rsidR="00E77BDE">
        <w:t xml:space="preserve"> such as osteomalacia, rickets or osteoporosis (which may be dietary or drug induced e.g. consequence of chemotherapy, radiotherapy or long-term steroid use), osteogenesis imperfecta and other conditions leading to reduced bone mineral density.</w:t>
      </w:r>
    </w:p>
    <w:p w:rsidR="006A444E" w:rsidRDefault="006A444E" w:rsidP="009B3755">
      <w:pPr>
        <w:pStyle w:val="Policy-MainBody"/>
      </w:pPr>
      <w:r>
        <w:t>Zoledronic acid, also known as zoledronate, is a bisphosphonate drug. This group of drugs</w:t>
      </w:r>
      <w:r w:rsidR="00E77BDE">
        <w:t xml:space="preserve"> binds strongly to bone mineral</w:t>
      </w:r>
      <w:r>
        <w:t xml:space="preserve"> and interferes with bone remodelling by slowing the process of osteoclastic bone resorption and bone turnover. </w:t>
      </w:r>
    </w:p>
    <w:p w:rsidR="006A444E" w:rsidRDefault="006A444E" w:rsidP="009B3755">
      <w:pPr>
        <w:pStyle w:val="Policy-MainBody"/>
        <w:rPr>
          <w:rFonts w:asciiTheme="minorHAnsi" w:hAnsiTheme="minorHAnsi" w:cstheme="minorHAnsi"/>
        </w:rPr>
      </w:pPr>
      <w:r>
        <w:t xml:space="preserve">Zoledronic acid is not licensed for use in children but is currently used off-label for a number of conditions associated with increased bone fragility. The advantage of </w:t>
      </w:r>
      <w:r w:rsidR="00E155F8">
        <w:t>z</w:t>
      </w:r>
      <w:r>
        <w:t xml:space="preserve">oledronic acid is that it can be </w:t>
      </w:r>
      <w:r w:rsidR="006405E9">
        <w:t>given on a single day as a thirty to forty-five</w:t>
      </w:r>
      <w:r w:rsidR="005D2D1A">
        <w:t xml:space="preserve"> </w:t>
      </w:r>
      <w:r>
        <w:t>min</w:t>
      </w:r>
      <w:r w:rsidR="005D2D1A">
        <w:t>ute</w:t>
      </w:r>
      <w:r w:rsidR="006405E9">
        <w:t xml:space="preserve"> infusion every three to six</w:t>
      </w:r>
      <w:r>
        <w:t xml:space="preserve"> months compared to pamidronate which must be given over several days. To date, evidence suggests no difference in the desired treatment effect, or side effects, between pamidronate disodium and zoledronic acid.</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Roles and responsibilities</w:t>
      </w:r>
    </w:p>
    <w:p w:rsidR="00340627" w:rsidRDefault="003D5577" w:rsidP="00340627">
      <w:pPr>
        <w:pStyle w:val="Policy-MainBody"/>
      </w:pPr>
      <w:r>
        <w:t xml:space="preserve">The decision to proceed with </w:t>
      </w:r>
      <w:r w:rsidR="00605464">
        <w:t>bisphosphonate</w:t>
      </w:r>
      <w:r w:rsidR="006A444E">
        <w:t xml:space="preserve"> therapy will generally be made by a consultant endocrinologist.</w:t>
      </w:r>
      <w:r w:rsidR="003C1F3E">
        <w:t xml:space="preserve"> The pre-trea</w:t>
      </w:r>
      <w:r w:rsidR="00984037">
        <w:t>tment preparation should be completed</w:t>
      </w:r>
      <w:r w:rsidR="003C1F3E">
        <w:t xml:space="preserve"> by the prescribing clinician or team.</w:t>
      </w:r>
    </w:p>
    <w:p w:rsidR="00340627" w:rsidRDefault="00340627" w:rsidP="00340627">
      <w:pPr>
        <w:pStyle w:val="Policy-MainBody"/>
      </w:pPr>
    </w:p>
    <w:p w:rsidR="00340627" w:rsidRDefault="00340627" w:rsidP="00340627">
      <w:pPr>
        <w:pStyle w:val="Policy-MainBody"/>
      </w:pPr>
    </w:p>
    <w:p w:rsidR="00340627" w:rsidRDefault="00340627" w:rsidP="00340627">
      <w:pPr>
        <w:pStyle w:val="Policy-MainBody"/>
      </w:pPr>
    </w:p>
    <w:p w:rsidR="00340627" w:rsidRDefault="00340627" w:rsidP="00340627">
      <w:pPr>
        <w:pStyle w:val="Policy-MainBody"/>
      </w:pPr>
    </w:p>
    <w:p w:rsidR="00340627" w:rsidRPr="00340627" w:rsidRDefault="00340627" w:rsidP="00340627">
      <w:pPr>
        <w:pStyle w:val="Policy-MainBody"/>
      </w:pPr>
    </w:p>
    <w:p w:rsidR="002E2A69"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Main content</w:t>
      </w:r>
    </w:p>
    <w:p w:rsidR="006A444E" w:rsidRPr="00967A72" w:rsidRDefault="0054386D" w:rsidP="006A444E">
      <w:pPr>
        <w:spacing w:before="480" w:after="240" w:line="240" w:lineRule="auto"/>
        <w:rPr>
          <w:sz w:val="24"/>
          <w:szCs w:val="24"/>
        </w:rPr>
      </w:pPr>
      <w:r w:rsidRPr="00967A72">
        <w:rPr>
          <w:b/>
          <w:sz w:val="24"/>
          <w:szCs w:val="24"/>
          <w:u w:val="single"/>
        </w:rPr>
        <w:t xml:space="preserve">5.1. </w:t>
      </w:r>
      <w:r w:rsidR="006A444E" w:rsidRPr="00967A72">
        <w:rPr>
          <w:b/>
          <w:sz w:val="24"/>
          <w:szCs w:val="24"/>
          <w:u w:val="single"/>
        </w:rPr>
        <w:t>In advance of the first planned admission</w:t>
      </w:r>
      <w:r w:rsidR="00984037">
        <w:rPr>
          <w:b/>
          <w:sz w:val="24"/>
          <w:szCs w:val="24"/>
          <w:u w:val="single"/>
        </w:rPr>
        <w:t xml:space="preserve"> for a </w:t>
      </w:r>
      <w:proofErr w:type="spellStart"/>
      <w:r w:rsidR="00984037">
        <w:rPr>
          <w:b/>
          <w:sz w:val="24"/>
          <w:szCs w:val="24"/>
          <w:u w:val="single"/>
        </w:rPr>
        <w:t>zoledronic</w:t>
      </w:r>
      <w:proofErr w:type="spellEnd"/>
      <w:r w:rsidR="00984037">
        <w:rPr>
          <w:b/>
          <w:sz w:val="24"/>
          <w:szCs w:val="24"/>
          <w:u w:val="single"/>
        </w:rPr>
        <w:t xml:space="preserve"> acid infusion</w:t>
      </w:r>
      <w:r w:rsidR="006A444E" w:rsidRPr="00967A72">
        <w:rPr>
          <w:sz w:val="24"/>
          <w:szCs w:val="24"/>
        </w:rPr>
        <w:t xml:space="preserve"> </w:t>
      </w:r>
    </w:p>
    <w:p w:rsidR="006A444E" w:rsidRPr="006A444E" w:rsidRDefault="003841AE" w:rsidP="006A444E">
      <w:pPr>
        <w:pStyle w:val="ListParagraph"/>
        <w:numPr>
          <w:ilvl w:val="0"/>
          <w:numId w:val="2"/>
        </w:numPr>
        <w:spacing w:before="480" w:after="240" w:line="240" w:lineRule="auto"/>
        <w:contextualSpacing w:val="0"/>
        <w:rPr>
          <w:color w:val="092869"/>
          <w:sz w:val="24"/>
          <w:szCs w:val="24"/>
        </w:rPr>
      </w:pPr>
      <w:r>
        <w:rPr>
          <w:sz w:val="24"/>
          <w:szCs w:val="24"/>
        </w:rPr>
        <w:t>Children and young people</w:t>
      </w:r>
      <w:r w:rsidR="006A444E" w:rsidRPr="006A444E">
        <w:rPr>
          <w:sz w:val="24"/>
          <w:szCs w:val="24"/>
        </w:rPr>
        <w:t xml:space="preserve"> should always have a</w:t>
      </w:r>
      <w:r>
        <w:rPr>
          <w:sz w:val="24"/>
          <w:szCs w:val="24"/>
        </w:rPr>
        <w:t>n adequate</w:t>
      </w:r>
      <w:r w:rsidR="006A444E" w:rsidRPr="006A444E">
        <w:rPr>
          <w:sz w:val="24"/>
          <w:szCs w:val="24"/>
        </w:rPr>
        <w:t xml:space="preserve"> Vit</w:t>
      </w:r>
      <w:r w:rsidR="006A444E">
        <w:rPr>
          <w:sz w:val="24"/>
          <w:szCs w:val="24"/>
        </w:rPr>
        <w:t>amin</w:t>
      </w:r>
      <w:r w:rsidR="006A444E" w:rsidRPr="006A444E">
        <w:rPr>
          <w:sz w:val="24"/>
          <w:szCs w:val="24"/>
        </w:rPr>
        <w:t xml:space="preserve"> D level </w:t>
      </w:r>
      <w:r>
        <w:rPr>
          <w:sz w:val="24"/>
          <w:szCs w:val="24"/>
        </w:rPr>
        <w:t>(</w:t>
      </w:r>
      <w:r w:rsidR="006A444E" w:rsidRPr="006A444E">
        <w:rPr>
          <w:sz w:val="24"/>
          <w:szCs w:val="24"/>
        </w:rPr>
        <w:t>&gt;50 nmol/l</w:t>
      </w:r>
      <w:r>
        <w:rPr>
          <w:sz w:val="24"/>
          <w:szCs w:val="24"/>
        </w:rPr>
        <w:t>)</w:t>
      </w:r>
      <w:r w:rsidR="006A444E" w:rsidRPr="006A444E">
        <w:rPr>
          <w:sz w:val="24"/>
          <w:szCs w:val="24"/>
        </w:rPr>
        <w:t xml:space="preserve"> prior to </w:t>
      </w:r>
      <w:r w:rsidR="005D2D1A">
        <w:rPr>
          <w:sz w:val="24"/>
          <w:szCs w:val="24"/>
        </w:rPr>
        <w:t xml:space="preserve">receiving their </w:t>
      </w:r>
      <w:r w:rsidR="006A444E" w:rsidRPr="006A444E">
        <w:rPr>
          <w:sz w:val="24"/>
          <w:szCs w:val="24"/>
        </w:rPr>
        <w:t xml:space="preserve">first infusion. This </w:t>
      </w:r>
      <w:r w:rsidR="00E155F8">
        <w:rPr>
          <w:sz w:val="24"/>
          <w:szCs w:val="24"/>
        </w:rPr>
        <w:t>must be</w:t>
      </w:r>
      <w:r w:rsidR="006A444E" w:rsidRPr="006A444E">
        <w:rPr>
          <w:sz w:val="24"/>
          <w:szCs w:val="24"/>
        </w:rPr>
        <w:t xml:space="preserve"> checked and reviewed following clinic consultation, prior to bo</w:t>
      </w:r>
      <w:r w:rsidR="006A444E">
        <w:rPr>
          <w:sz w:val="24"/>
          <w:szCs w:val="24"/>
        </w:rPr>
        <w:t xml:space="preserve">oking </w:t>
      </w:r>
      <w:r>
        <w:rPr>
          <w:sz w:val="24"/>
          <w:szCs w:val="24"/>
        </w:rPr>
        <w:t xml:space="preserve">the </w:t>
      </w:r>
      <w:r w:rsidR="006A444E">
        <w:rPr>
          <w:sz w:val="24"/>
          <w:szCs w:val="24"/>
        </w:rPr>
        <w:t xml:space="preserve">admission for infusion. </w:t>
      </w:r>
    </w:p>
    <w:p w:rsidR="006A444E" w:rsidRPr="006A444E" w:rsidRDefault="00984037" w:rsidP="006A444E">
      <w:pPr>
        <w:pStyle w:val="ListParagraph"/>
        <w:numPr>
          <w:ilvl w:val="0"/>
          <w:numId w:val="2"/>
        </w:numPr>
        <w:spacing w:before="480" w:after="240" w:line="240" w:lineRule="auto"/>
        <w:contextualSpacing w:val="0"/>
        <w:rPr>
          <w:color w:val="092869"/>
          <w:sz w:val="24"/>
          <w:szCs w:val="24"/>
        </w:rPr>
      </w:pPr>
      <w:r>
        <w:rPr>
          <w:sz w:val="24"/>
          <w:szCs w:val="24"/>
        </w:rPr>
        <w:t xml:space="preserve">The patient </w:t>
      </w:r>
      <w:r w:rsidR="000B4009">
        <w:rPr>
          <w:sz w:val="24"/>
          <w:szCs w:val="24"/>
        </w:rPr>
        <w:t xml:space="preserve">should be booked </w:t>
      </w:r>
      <w:r>
        <w:rPr>
          <w:sz w:val="24"/>
          <w:szCs w:val="24"/>
        </w:rPr>
        <w:t xml:space="preserve">for the infusion </w:t>
      </w:r>
      <w:r w:rsidR="000B4009">
        <w:rPr>
          <w:sz w:val="24"/>
          <w:szCs w:val="24"/>
        </w:rPr>
        <w:t>i</w:t>
      </w:r>
      <w:r>
        <w:rPr>
          <w:sz w:val="24"/>
          <w:szCs w:val="24"/>
        </w:rPr>
        <w:t xml:space="preserve">n </w:t>
      </w:r>
      <w:proofErr w:type="spellStart"/>
      <w:r>
        <w:rPr>
          <w:sz w:val="24"/>
          <w:szCs w:val="24"/>
        </w:rPr>
        <w:t>Dirleton</w:t>
      </w:r>
      <w:proofErr w:type="spellEnd"/>
      <w:r>
        <w:rPr>
          <w:sz w:val="24"/>
          <w:szCs w:val="24"/>
        </w:rPr>
        <w:t xml:space="preserve"> ward. </w:t>
      </w:r>
      <w:r w:rsidR="006A444E" w:rsidRPr="006A444E">
        <w:rPr>
          <w:sz w:val="24"/>
          <w:szCs w:val="24"/>
        </w:rPr>
        <w:t>A</w:t>
      </w:r>
      <w:r w:rsidR="005D2D1A">
        <w:rPr>
          <w:sz w:val="24"/>
          <w:szCs w:val="24"/>
        </w:rPr>
        <w:t xml:space="preserve">n overnight </w:t>
      </w:r>
      <w:r w:rsidR="006A444E" w:rsidRPr="006A444E">
        <w:rPr>
          <w:sz w:val="24"/>
          <w:szCs w:val="24"/>
        </w:rPr>
        <w:t xml:space="preserve">admission </w:t>
      </w:r>
      <w:r>
        <w:rPr>
          <w:sz w:val="24"/>
          <w:szCs w:val="24"/>
        </w:rPr>
        <w:t xml:space="preserve">to a </w:t>
      </w:r>
      <w:r w:rsidR="005D2D1A">
        <w:rPr>
          <w:sz w:val="24"/>
          <w:szCs w:val="24"/>
        </w:rPr>
        <w:t>paediatric medical ward should be arranged</w:t>
      </w:r>
      <w:r w:rsidR="006A444E" w:rsidRPr="006A444E">
        <w:rPr>
          <w:sz w:val="24"/>
          <w:szCs w:val="24"/>
        </w:rPr>
        <w:t xml:space="preserve"> following </w:t>
      </w:r>
      <w:r w:rsidR="000B4009">
        <w:rPr>
          <w:sz w:val="24"/>
          <w:szCs w:val="24"/>
        </w:rPr>
        <w:t>the FIRST</w:t>
      </w:r>
      <w:r w:rsidR="003841AE">
        <w:rPr>
          <w:sz w:val="24"/>
          <w:szCs w:val="24"/>
        </w:rPr>
        <w:t xml:space="preserve"> </w:t>
      </w:r>
      <w:r w:rsidR="006A444E" w:rsidRPr="006A444E">
        <w:rPr>
          <w:sz w:val="24"/>
          <w:szCs w:val="24"/>
        </w:rPr>
        <w:t>i</w:t>
      </w:r>
      <w:r w:rsidR="005D2D1A">
        <w:rPr>
          <w:sz w:val="24"/>
          <w:szCs w:val="24"/>
        </w:rPr>
        <w:t xml:space="preserve">nfusion </w:t>
      </w:r>
      <w:r w:rsidR="006A444E" w:rsidRPr="006A444E">
        <w:rPr>
          <w:sz w:val="24"/>
          <w:szCs w:val="24"/>
        </w:rPr>
        <w:t>to monitor ionised calcium levels – see below. This is not re</w:t>
      </w:r>
      <w:r w:rsidR="006A444E">
        <w:rPr>
          <w:sz w:val="24"/>
          <w:szCs w:val="24"/>
        </w:rPr>
        <w:t xml:space="preserve">quired for subsequent </w:t>
      </w:r>
      <w:r w:rsidR="005D2D1A">
        <w:rPr>
          <w:sz w:val="24"/>
          <w:szCs w:val="24"/>
        </w:rPr>
        <w:t>infusion</w:t>
      </w:r>
      <w:r w:rsidR="00E77BDE">
        <w:rPr>
          <w:sz w:val="24"/>
          <w:szCs w:val="24"/>
        </w:rPr>
        <w:t>s</w:t>
      </w:r>
      <w:r w:rsidR="006A444E">
        <w:rPr>
          <w:sz w:val="24"/>
          <w:szCs w:val="24"/>
        </w:rPr>
        <w:t xml:space="preserve">. </w:t>
      </w:r>
    </w:p>
    <w:p w:rsidR="00E77BDE" w:rsidRPr="00E77BDE" w:rsidRDefault="007C6CEE" w:rsidP="00E77BDE">
      <w:pPr>
        <w:pStyle w:val="ListParagraph"/>
        <w:numPr>
          <w:ilvl w:val="0"/>
          <w:numId w:val="2"/>
        </w:numPr>
        <w:spacing w:before="480" w:line="240" w:lineRule="auto"/>
        <w:contextualSpacing w:val="0"/>
        <w:rPr>
          <w:color w:val="092869"/>
          <w:sz w:val="24"/>
          <w:szCs w:val="24"/>
        </w:rPr>
      </w:pPr>
      <w:r>
        <w:rPr>
          <w:sz w:val="24"/>
          <w:szCs w:val="24"/>
        </w:rPr>
        <w:t>All p</w:t>
      </w:r>
      <w:r w:rsidR="006A444E" w:rsidRPr="006A444E">
        <w:rPr>
          <w:sz w:val="24"/>
          <w:szCs w:val="24"/>
        </w:rPr>
        <w:t xml:space="preserve">atients </w:t>
      </w:r>
      <w:r w:rsidR="003841AE">
        <w:rPr>
          <w:sz w:val="24"/>
          <w:szCs w:val="24"/>
        </w:rPr>
        <w:t xml:space="preserve">require </w:t>
      </w:r>
      <w:r>
        <w:rPr>
          <w:sz w:val="24"/>
          <w:szCs w:val="24"/>
        </w:rPr>
        <w:t>oral calcium supplements for</w:t>
      </w:r>
      <w:r w:rsidR="006A444E" w:rsidRPr="006A444E">
        <w:rPr>
          <w:sz w:val="24"/>
          <w:szCs w:val="24"/>
        </w:rPr>
        <w:t xml:space="preserve"> three days before, </w:t>
      </w:r>
      <w:r>
        <w:rPr>
          <w:sz w:val="24"/>
          <w:szCs w:val="24"/>
        </w:rPr>
        <w:t xml:space="preserve">the </w:t>
      </w:r>
      <w:r w:rsidR="006A444E" w:rsidRPr="006A444E">
        <w:rPr>
          <w:sz w:val="24"/>
          <w:szCs w:val="24"/>
        </w:rPr>
        <w:t>day of</w:t>
      </w:r>
      <w:r w:rsidR="00C66509">
        <w:rPr>
          <w:sz w:val="24"/>
          <w:szCs w:val="24"/>
        </w:rPr>
        <w:t>,</w:t>
      </w:r>
      <w:r w:rsidR="006A444E" w:rsidRPr="006A444E">
        <w:rPr>
          <w:sz w:val="24"/>
          <w:szCs w:val="24"/>
        </w:rPr>
        <w:t xml:space="preserve"> and three days after </w:t>
      </w:r>
      <w:r w:rsidR="003841AE">
        <w:rPr>
          <w:sz w:val="24"/>
          <w:szCs w:val="24"/>
        </w:rPr>
        <w:t>every</w:t>
      </w:r>
      <w:r>
        <w:rPr>
          <w:sz w:val="24"/>
          <w:szCs w:val="24"/>
        </w:rPr>
        <w:t xml:space="preserve"> </w:t>
      </w:r>
      <w:r w:rsidR="006A444E" w:rsidRPr="006A444E">
        <w:rPr>
          <w:sz w:val="24"/>
          <w:szCs w:val="24"/>
        </w:rPr>
        <w:t>infusion</w:t>
      </w:r>
      <w:r w:rsidR="00014541">
        <w:rPr>
          <w:sz w:val="24"/>
          <w:szCs w:val="24"/>
        </w:rPr>
        <w:t xml:space="preserve"> (</w:t>
      </w:r>
      <w:r>
        <w:rPr>
          <w:sz w:val="24"/>
          <w:szCs w:val="24"/>
        </w:rPr>
        <w:t xml:space="preserve">i.e. </w:t>
      </w:r>
      <w:r w:rsidR="00014541">
        <w:rPr>
          <w:sz w:val="24"/>
          <w:szCs w:val="24"/>
        </w:rPr>
        <w:t>seven days total)</w:t>
      </w:r>
      <w:r w:rsidR="00ED009C">
        <w:rPr>
          <w:sz w:val="24"/>
          <w:szCs w:val="24"/>
        </w:rPr>
        <w:t xml:space="preserve">. This should be documented in the patient’s clinic letter alongside a request for the GP to prescribe. </w:t>
      </w:r>
    </w:p>
    <w:p w:rsidR="00E77BDE" w:rsidRDefault="006A444E" w:rsidP="00E77BDE">
      <w:pPr>
        <w:pStyle w:val="ListParagraph"/>
        <w:spacing w:line="240" w:lineRule="auto"/>
        <w:ind w:left="1080"/>
        <w:contextualSpacing w:val="0"/>
        <w:rPr>
          <w:sz w:val="24"/>
          <w:szCs w:val="24"/>
        </w:rPr>
      </w:pPr>
      <w:r w:rsidRPr="00E77BDE">
        <w:rPr>
          <w:b/>
          <w:sz w:val="24"/>
          <w:szCs w:val="24"/>
        </w:rPr>
        <w:t>Calcium dose is 1 mmol/kg/day, divided into two or three doses depending on convenience of preparation</w:t>
      </w:r>
      <w:r w:rsidR="007C6CEE" w:rsidRPr="00E77BDE">
        <w:rPr>
          <w:b/>
          <w:sz w:val="24"/>
          <w:szCs w:val="24"/>
        </w:rPr>
        <w:t xml:space="preserve"> </w:t>
      </w:r>
      <w:r w:rsidR="007C6CEE" w:rsidRPr="00E77BDE">
        <w:rPr>
          <w:sz w:val="24"/>
          <w:szCs w:val="24"/>
        </w:rPr>
        <w:t>(see</w:t>
      </w:r>
      <w:r w:rsidR="00E77BDE">
        <w:rPr>
          <w:sz w:val="24"/>
          <w:szCs w:val="24"/>
        </w:rPr>
        <w:t xml:space="preserve"> </w:t>
      </w:r>
      <w:r w:rsidR="007C6CEE" w:rsidRPr="00E77BDE">
        <w:rPr>
          <w:sz w:val="24"/>
          <w:szCs w:val="24"/>
        </w:rPr>
        <w:t>BNF</w:t>
      </w:r>
      <w:r w:rsidR="00E77BDE">
        <w:rPr>
          <w:sz w:val="24"/>
          <w:szCs w:val="24"/>
        </w:rPr>
        <w:t>c</w:t>
      </w:r>
      <w:r w:rsidR="007C6CEE" w:rsidRPr="00E77BDE">
        <w:rPr>
          <w:sz w:val="24"/>
          <w:szCs w:val="24"/>
        </w:rPr>
        <w:t xml:space="preserve"> for available preparations)</w:t>
      </w:r>
      <w:r w:rsidRPr="00E77BDE">
        <w:rPr>
          <w:sz w:val="24"/>
          <w:szCs w:val="24"/>
        </w:rPr>
        <w:t xml:space="preserve">. </w:t>
      </w:r>
    </w:p>
    <w:p w:rsidR="006A444E" w:rsidRDefault="006A444E" w:rsidP="00E77BDE">
      <w:pPr>
        <w:pStyle w:val="ListParagraph"/>
        <w:spacing w:after="240" w:line="240" w:lineRule="auto"/>
        <w:ind w:left="1080"/>
        <w:contextualSpacing w:val="0"/>
        <w:rPr>
          <w:sz w:val="24"/>
          <w:szCs w:val="24"/>
        </w:rPr>
      </w:pPr>
      <w:r w:rsidRPr="00E77BDE">
        <w:rPr>
          <w:sz w:val="24"/>
          <w:szCs w:val="24"/>
        </w:rPr>
        <w:t xml:space="preserve">The dose </w:t>
      </w:r>
      <w:r w:rsidR="007C6CEE" w:rsidRPr="00E77BDE">
        <w:rPr>
          <w:sz w:val="24"/>
          <w:szCs w:val="24"/>
        </w:rPr>
        <w:t>should be revised a</w:t>
      </w:r>
      <w:r w:rsidR="003C1F3E" w:rsidRPr="00E77BDE">
        <w:rPr>
          <w:sz w:val="24"/>
          <w:szCs w:val="24"/>
        </w:rPr>
        <w:t>ccording to patient’s weight</w:t>
      </w:r>
      <w:r w:rsidR="00E77BDE">
        <w:rPr>
          <w:sz w:val="24"/>
          <w:szCs w:val="24"/>
        </w:rPr>
        <w:t>, as required</w:t>
      </w:r>
      <w:r w:rsidR="003C1F3E" w:rsidRPr="00E77BDE">
        <w:rPr>
          <w:sz w:val="24"/>
          <w:szCs w:val="24"/>
        </w:rPr>
        <w:t>.</w:t>
      </w:r>
    </w:p>
    <w:p w:rsidR="003841AE" w:rsidRPr="00F66926" w:rsidRDefault="003841AE" w:rsidP="00F66926">
      <w:pPr>
        <w:pStyle w:val="ListParagraph"/>
        <w:numPr>
          <w:ilvl w:val="0"/>
          <w:numId w:val="2"/>
        </w:numPr>
        <w:spacing w:before="480" w:after="240" w:line="240" w:lineRule="auto"/>
        <w:contextualSpacing w:val="0"/>
        <w:rPr>
          <w:color w:val="092869"/>
          <w:sz w:val="24"/>
          <w:szCs w:val="24"/>
        </w:rPr>
      </w:pPr>
      <w:r w:rsidRPr="006A444E">
        <w:rPr>
          <w:sz w:val="24"/>
          <w:szCs w:val="24"/>
        </w:rPr>
        <w:t xml:space="preserve">Prescribe the </w:t>
      </w:r>
      <w:r w:rsidR="00F66926">
        <w:rPr>
          <w:sz w:val="24"/>
          <w:szCs w:val="24"/>
        </w:rPr>
        <w:t>zoledronic acid</w:t>
      </w:r>
      <w:r w:rsidRPr="006A444E">
        <w:rPr>
          <w:sz w:val="24"/>
          <w:szCs w:val="24"/>
        </w:rPr>
        <w:t xml:space="preserve"> on the </w:t>
      </w:r>
      <w:r w:rsidRPr="00F66926">
        <w:rPr>
          <w:sz w:val="24"/>
          <w:szCs w:val="24"/>
        </w:rPr>
        <w:t>patient’s fluid prescription chart.</w:t>
      </w:r>
      <w:r>
        <w:rPr>
          <w:sz w:val="24"/>
          <w:szCs w:val="24"/>
        </w:rPr>
        <w:t xml:space="preserve"> Prior to the first infusion, the post-infusion calcium supplementation and paracetamol </w:t>
      </w:r>
      <w:r w:rsidR="00F66926">
        <w:rPr>
          <w:sz w:val="24"/>
          <w:szCs w:val="24"/>
        </w:rPr>
        <w:t xml:space="preserve">as required should also be prescribed </w:t>
      </w:r>
      <w:r w:rsidR="00CB7BC5">
        <w:rPr>
          <w:sz w:val="24"/>
          <w:szCs w:val="24"/>
        </w:rPr>
        <w:t>on the patient’s medication prescription and administration record</w:t>
      </w:r>
      <w:r w:rsidR="00AD69C2">
        <w:rPr>
          <w:sz w:val="24"/>
          <w:szCs w:val="24"/>
        </w:rPr>
        <w:t>,</w:t>
      </w:r>
      <w:r w:rsidR="00F66926">
        <w:rPr>
          <w:sz w:val="24"/>
          <w:szCs w:val="24"/>
        </w:rPr>
        <w:t xml:space="preserve"> in preparation for their overnight stay</w:t>
      </w:r>
      <w:r>
        <w:rPr>
          <w:sz w:val="24"/>
          <w:szCs w:val="24"/>
        </w:rPr>
        <w:t>.</w:t>
      </w:r>
    </w:p>
    <w:p w:rsidR="0054386D" w:rsidRDefault="0054386D" w:rsidP="0054386D">
      <w:pPr>
        <w:spacing w:before="480" w:after="240" w:line="240" w:lineRule="auto"/>
        <w:rPr>
          <w:b/>
          <w:sz w:val="24"/>
          <w:szCs w:val="24"/>
          <w:u w:val="single"/>
        </w:rPr>
      </w:pPr>
      <w:r>
        <w:rPr>
          <w:b/>
          <w:sz w:val="24"/>
          <w:szCs w:val="24"/>
          <w:u w:val="single"/>
        </w:rPr>
        <w:t xml:space="preserve">5.2. </w:t>
      </w:r>
      <w:r w:rsidRPr="0054386D">
        <w:rPr>
          <w:b/>
          <w:sz w:val="24"/>
          <w:szCs w:val="24"/>
          <w:u w:val="single"/>
        </w:rPr>
        <w:t xml:space="preserve">At </w:t>
      </w:r>
      <w:r>
        <w:rPr>
          <w:b/>
          <w:sz w:val="24"/>
          <w:szCs w:val="24"/>
          <w:u w:val="single"/>
        </w:rPr>
        <w:t xml:space="preserve">first </w:t>
      </w:r>
      <w:r w:rsidRPr="0054386D">
        <w:rPr>
          <w:b/>
          <w:sz w:val="24"/>
          <w:szCs w:val="24"/>
          <w:u w:val="single"/>
        </w:rPr>
        <w:t>admission</w:t>
      </w:r>
    </w:p>
    <w:p w:rsidR="0054386D" w:rsidRDefault="003841AE" w:rsidP="00967A72">
      <w:pPr>
        <w:spacing w:before="480" w:after="240" w:line="240" w:lineRule="auto"/>
        <w:ind w:left="720"/>
        <w:rPr>
          <w:sz w:val="24"/>
          <w:szCs w:val="24"/>
        </w:rPr>
      </w:pPr>
      <w:r>
        <w:rPr>
          <w:sz w:val="24"/>
          <w:szCs w:val="24"/>
        </w:rPr>
        <w:t>Children and young people</w:t>
      </w:r>
      <w:r w:rsidR="0054386D">
        <w:rPr>
          <w:sz w:val="24"/>
          <w:szCs w:val="24"/>
        </w:rPr>
        <w:t xml:space="preserve"> should have a medical review at admission, including plotting on </w:t>
      </w:r>
      <w:r w:rsidR="007C6CEE">
        <w:rPr>
          <w:sz w:val="24"/>
          <w:szCs w:val="24"/>
        </w:rPr>
        <w:t xml:space="preserve">a </w:t>
      </w:r>
      <w:r w:rsidR="0054386D">
        <w:rPr>
          <w:sz w:val="24"/>
          <w:szCs w:val="24"/>
        </w:rPr>
        <w:t xml:space="preserve">growth chart of </w:t>
      </w:r>
      <w:r w:rsidR="007C6CEE">
        <w:rPr>
          <w:sz w:val="24"/>
          <w:szCs w:val="24"/>
        </w:rPr>
        <w:t xml:space="preserve">their </w:t>
      </w:r>
      <w:r w:rsidR="0054386D">
        <w:rPr>
          <w:sz w:val="24"/>
          <w:szCs w:val="24"/>
        </w:rPr>
        <w:t xml:space="preserve">height, weight and </w:t>
      </w:r>
      <w:r w:rsidR="003C1F3E">
        <w:rPr>
          <w:sz w:val="24"/>
          <w:szCs w:val="24"/>
        </w:rPr>
        <w:t>occipito</w:t>
      </w:r>
      <w:r w:rsidR="00236DF9">
        <w:rPr>
          <w:sz w:val="24"/>
          <w:szCs w:val="24"/>
        </w:rPr>
        <w:t>-</w:t>
      </w:r>
      <w:r w:rsidR="003C1F3E">
        <w:rPr>
          <w:sz w:val="24"/>
          <w:szCs w:val="24"/>
        </w:rPr>
        <w:t>frontal circumference (</w:t>
      </w:r>
      <w:r w:rsidR="0054386D">
        <w:rPr>
          <w:sz w:val="24"/>
          <w:szCs w:val="24"/>
        </w:rPr>
        <w:t>OFC</w:t>
      </w:r>
      <w:r w:rsidR="003C1F3E">
        <w:rPr>
          <w:sz w:val="24"/>
          <w:szCs w:val="24"/>
        </w:rPr>
        <w:t>)</w:t>
      </w:r>
      <w:r w:rsidR="00014541">
        <w:rPr>
          <w:sz w:val="24"/>
          <w:szCs w:val="24"/>
        </w:rPr>
        <w:t xml:space="preserve"> for </w:t>
      </w:r>
      <w:r w:rsidR="003C1F3E">
        <w:rPr>
          <w:sz w:val="24"/>
          <w:szCs w:val="24"/>
        </w:rPr>
        <w:t>children</w:t>
      </w:r>
      <w:r w:rsidR="00014541">
        <w:rPr>
          <w:sz w:val="24"/>
          <w:szCs w:val="24"/>
        </w:rPr>
        <w:t xml:space="preserve"> under the age of two</w:t>
      </w:r>
      <w:r w:rsidR="0054386D">
        <w:rPr>
          <w:sz w:val="24"/>
          <w:szCs w:val="24"/>
        </w:rPr>
        <w:t xml:space="preserve"> years.</w:t>
      </w:r>
      <w:r w:rsidR="00014541">
        <w:rPr>
          <w:sz w:val="24"/>
          <w:szCs w:val="24"/>
        </w:rPr>
        <w:t xml:space="preserve"> Ensure that </w:t>
      </w:r>
      <w:r w:rsidR="007C6CEE">
        <w:rPr>
          <w:sz w:val="24"/>
          <w:szCs w:val="24"/>
        </w:rPr>
        <w:t xml:space="preserve">enteral </w:t>
      </w:r>
      <w:r w:rsidR="00014541">
        <w:rPr>
          <w:sz w:val="24"/>
          <w:szCs w:val="24"/>
        </w:rPr>
        <w:t xml:space="preserve">calcium supplements have been taken for the three days prior </w:t>
      </w:r>
      <w:r w:rsidR="00236DF9">
        <w:rPr>
          <w:sz w:val="24"/>
          <w:szCs w:val="24"/>
        </w:rPr>
        <w:t xml:space="preserve">to </w:t>
      </w:r>
      <w:r w:rsidR="00014541">
        <w:rPr>
          <w:sz w:val="24"/>
          <w:szCs w:val="24"/>
        </w:rPr>
        <w:t>and the day of admission.</w:t>
      </w:r>
    </w:p>
    <w:p w:rsidR="003841AE" w:rsidRDefault="0054386D" w:rsidP="00967A72">
      <w:pPr>
        <w:spacing w:before="480" w:after="240" w:line="240" w:lineRule="auto"/>
        <w:ind w:left="720"/>
        <w:rPr>
          <w:sz w:val="24"/>
          <w:szCs w:val="24"/>
        </w:rPr>
      </w:pPr>
      <w:r>
        <w:rPr>
          <w:sz w:val="24"/>
          <w:szCs w:val="24"/>
        </w:rPr>
        <w:t>A</w:t>
      </w:r>
      <w:r w:rsidR="007C6CEE">
        <w:rPr>
          <w:sz w:val="24"/>
          <w:szCs w:val="24"/>
        </w:rPr>
        <w:t>n intravenous</w:t>
      </w:r>
      <w:r>
        <w:rPr>
          <w:sz w:val="24"/>
          <w:szCs w:val="24"/>
        </w:rPr>
        <w:t xml:space="preserve"> cannula</w:t>
      </w:r>
      <w:r w:rsidR="007C6CEE">
        <w:rPr>
          <w:sz w:val="24"/>
          <w:szCs w:val="24"/>
        </w:rPr>
        <w:t xml:space="preserve"> will</w:t>
      </w:r>
      <w:r>
        <w:rPr>
          <w:sz w:val="24"/>
          <w:szCs w:val="24"/>
        </w:rPr>
        <w:t xml:space="preserve"> be inserted and bloods taken for U&amp;Es</w:t>
      </w:r>
      <w:r w:rsidR="007C6CEE">
        <w:rPr>
          <w:sz w:val="24"/>
          <w:szCs w:val="24"/>
        </w:rPr>
        <w:t xml:space="preserve"> and creatinine</w:t>
      </w:r>
      <w:r>
        <w:rPr>
          <w:sz w:val="24"/>
          <w:szCs w:val="24"/>
        </w:rPr>
        <w:t>, LFTs, PTH, calcium, magnesium and phosphate. A blood gas for ionised calcium should also be taken prior to first infusion</w:t>
      </w:r>
      <w:r w:rsidR="001C0103">
        <w:rPr>
          <w:sz w:val="24"/>
          <w:szCs w:val="24"/>
        </w:rPr>
        <w:t xml:space="preserve"> as </w:t>
      </w:r>
      <w:r w:rsidR="003841AE">
        <w:rPr>
          <w:sz w:val="24"/>
          <w:szCs w:val="24"/>
        </w:rPr>
        <w:t>a</w:t>
      </w:r>
      <w:r w:rsidR="001C0103">
        <w:rPr>
          <w:sz w:val="24"/>
          <w:szCs w:val="24"/>
        </w:rPr>
        <w:t xml:space="preserve"> baseline, in order to compare results post-infusion</w:t>
      </w:r>
      <w:r>
        <w:rPr>
          <w:sz w:val="24"/>
          <w:szCs w:val="24"/>
        </w:rPr>
        <w:t xml:space="preserve">. A vitamin D level should be checked not more than annually. </w:t>
      </w:r>
    </w:p>
    <w:p w:rsidR="00340627" w:rsidRDefault="0054386D" w:rsidP="00340627">
      <w:pPr>
        <w:spacing w:after="240" w:line="240" w:lineRule="auto"/>
        <w:ind w:left="720"/>
        <w:rPr>
          <w:b/>
          <w:sz w:val="24"/>
          <w:szCs w:val="24"/>
        </w:rPr>
      </w:pPr>
      <w:r w:rsidRPr="0054386D">
        <w:rPr>
          <w:b/>
          <w:sz w:val="24"/>
          <w:szCs w:val="24"/>
        </w:rPr>
        <w:t>Bloods should be sent urgently to the lab</w:t>
      </w:r>
      <w:r w:rsidR="003841AE">
        <w:rPr>
          <w:b/>
          <w:sz w:val="24"/>
          <w:szCs w:val="24"/>
        </w:rPr>
        <w:t>oratory</w:t>
      </w:r>
      <w:r w:rsidR="002B3877">
        <w:rPr>
          <w:b/>
          <w:sz w:val="24"/>
          <w:szCs w:val="24"/>
        </w:rPr>
        <w:t xml:space="preserve"> and the results reviewed</w:t>
      </w:r>
      <w:r w:rsidRPr="0054386D">
        <w:rPr>
          <w:b/>
          <w:sz w:val="24"/>
          <w:szCs w:val="24"/>
        </w:rPr>
        <w:t xml:space="preserve"> prior to commencement of infusion</w:t>
      </w:r>
      <w:r>
        <w:rPr>
          <w:sz w:val="24"/>
          <w:szCs w:val="24"/>
        </w:rPr>
        <w:t xml:space="preserve"> </w:t>
      </w:r>
      <w:r w:rsidRPr="007C6CEE">
        <w:rPr>
          <w:b/>
          <w:sz w:val="24"/>
          <w:szCs w:val="24"/>
        </w:rPr>
        <w:t>– this is to ensure normal renal function</w:t>
      </w:r>
      <w:r w:rsidR="00CB7BC5">
        <w:rPr>
          <w:b/>
          <w:sz w:val="24"/>
          <w:szCs w:val="24"/>
        </w:rPr>
        <w:t xml:space="preserve"> prior to receiving </w:t>
      </w:r>
      <w:proofErr w:type="spellStart"/>
      <w:r w:rsidR="00CB7BC5">
        <w:rPr>
          <w:b/>
          <w:sz w:val="24"/>
          <w:szCs w:val="24"/>
        </w:rPr>
        <w:t>zoledronic</w:t>
      </w:r>
      <w:proofErr w:type="spellEnd"/>
      <w:r w:rsidR="00CB7BC5">
        <w:rPr>
          <w:b/>
          <w:sz w:val="24"/>
          <w:szCs w:val="24"/>
        </w:rPr>
        <w:t xml:space="preserve"> acid</w:t>
      </w:r>
      <w:r w:rsidR="003841AE">
        <w:rPr>
          <w:b/>
          <w:sz w:val="24"/>
          <w:szCs w:val="24"/>
        </w:rPr>
        <w:t xml:space="preserve"> - u</w:t>
      </w:r>
      <w:r w:rsidR="00E155F8">
        <w:rPr>
          <w:b/>
          <w:sz w:val="24"/>
          <w:szCs w:val="24"/>
        </w:rPr>
        <w:t xml:space="preserve">nless normal renal function </w:t>
      </w:r>
      <w:r w:rsidR="003841AE">
        <w:rPr>
          <w:b/>
          <w:sz w:val="24"/>
          <w:szCs w:val="24"/>
        </w:rPr>
        <w:t xml:space="preserve">has been </w:t>
      </w:r>
      <w:r w:rsidR="00E155F8">
        <w:rPr>
          <w:b/>
          <w:sz w:val="24"/>
          <w:szCs w:val="24"/>
        </w:rPr>
        <w:t xml:space="preserve">confirmed in </w:t>
      </w:r>
      <w:r w:rsidR="003841AE">
        <w:rPr>
          <w:b/>
          <w:sz w:val="24"/>
          <w:szCs w:val="24"/>
        </w:rPr>
        <w:t>the preceding</w:t>
      </w:r>
      <w:r w:rsidR="006405E9">
        <w:rPr>
          <w:b/>
          <w:sz w:val="24"/>
          <w:szCs w:val="24"/>
        </w:rPr>
        <w:t xml:space="preserve"> four</w:t>
      </w:r>
      <w:r w:rsidR="00E155F8">
        <w:rPr>
          <w:b/>
          <w:sz w:val="24"/>
          <w:szCs w:val="24"/>
        </w:rPr>
        <w:t xml:space="preserve"> weeks.</w:t>
      </w:r>
    </w:p>
    <w:p w:rsidR="00D27A48" w:rsidRPr="00340627" w:rsidRDefault="007C6CEE" w:rsidP="00340627">
      <w:pPr>
        <w:spacing w:after="240" w:line="240" w:lineRule="auto"/>
        <w:ind w:left="720"/>
        <w:rPr>
          <w:b/>
          <w:sz w:val="24"/>
          <w:szCs w:val="24"/>
        </w:rPr>
      </w:pPr>
      <w:r>
        <w:rPr>
          <w:sz w:val="24"/>
          <w:szCs w:val="24"/>
        </w:rPr>
        <w:t>As a side effect of the infusion, s</w:t>
      </w:r>
      <w:r w:rsidR="003841AE">
        <w:rPr>
          <w:sz w:val="24"/>
          <w:szCs w:val="24"/>
        </w:rPr>
        <w:t>ome children and young people</w:t>
      </w:r>
      <w:r w:rsidR="00D27A48" w:rsidRPr="007C6CEE">
        <w:rPr>
          <w:sz w:val="24"/>
          <w:szCs w:val="24"/>
        </w:rPr>
        <w:t xml:space="preserve"> will experience ‘flu-like symptoms</w:t>
      </w:r>
      <w:r w:rsidR="00C66509">
        <w:rPr>
          <w:sz w:val="24"/>
          <w:szCs w:val="24"/>
        </w:rPr>
        <w:t>’</w:t>
      </w:r>
      <w:r w:rsidR="00D27A48" w:rsidRPr="007C6CEE">
        <w:rPr>
          <w:sz w:val="24"/>
          <w:szCs w:val="24"/>
        </w:rPr>
        <w:t xml:space="preserve"> with fever, musculoskeletal aches and pains and occasionally vomiting. Most symptoms respond to paracetamol and usually only occur on the occasion of the first infusion. </w:t>
      </w:r>
    </w:p>
    <w:p w:rsidR="0054386D" w:rsidRDefault="0054386D" w:rsidP="00967A72">
      <w:pPr>
        <w:spacing w:before="480" w:after="240" w:line="240" w:lineRule="auto"/>
        <w:ind w:left="720"/>
        <w:rPr>
          <w:sz w:val="24"/>
          <w:szCs w:val="24"/>
        </w:rPr>
      </w:pPr>
      <w:r>
        <w:rPr>
          <w:sz w:val="24"/>
          <w:szCs w:val="24"/>
        </w:rPr>
        <w:t xml:space="preserve">Following </w:t>
      </w:r>
      <w:r w:rsidR="00014541">
        <w:rPr>
          <w:sz w:val="24"/>
          <w:szCs w:val="24"/>
        </w:rPr>
        <w:t>the</w:t>
      </w:r>
      <w:r w:rsidR="004252F9">
        <w:rPr>
          <w:sz w:val="24"/>
          <w:szCs w:val="24"/>
        </w:rPr>
        <w:t xml:space="preserve"> first</w:t>
      </w:r>
      <w:r w:rsidR="00014541">
        <w:rPr>
          <w:sz w:val="24"/>
          <w:szCs w:val="24"/>
        </w:rPr>
        <w:t xml:space="preserve"> infusion, patients require four</w:t>
      </w:r>
      <w:r w:rsidR="007C6CEE">
        <w:rPr>
          <w:sz w:val="24"/>
          <w:szCs w:val="24"/>
        </w:rPr>
        <w:t>-</w:t>
      </w:r>
      <w:r>
        <w:rPr>
          <w:sz w:val="24"/>
          <w:szCs w:val="24"/>
        </w:rPr>
        <w:t>hourly observation</w:t>
      </w:r>
      <w:r w:rsidR="00C66509">
        <w:rPr>
          <w:sz w:val="24"/>
          <w:szCs w:val="24"/>
        </w:rPr>
        <w:t>s</w:t>
      </w:r>
      <w:r>
        <w:rPr>
          <w:sz w:val="24"/>
          <w:szCs w:val="24"/>
        </w:rPr>
        <w:t xml:space="preserve"> of heart rate, respirations, blood pressure and temperature which should be documented on </w:t>
      </w:r>
      <w:r w:rsidR="007C6CEE">
        <w:rPr>
          <w:sz w:val="24"/>
          <w:szCs w:val="24"/>
        </w:rPr>
        <w:t xml:space="preserve">the patient’s </w:t>
      </w:r>
      <w:r>
        <w:rPr>
          <w:sz w:val="24"/>
          <w:szCs w:val="24"/>
        </w:rPr>
        <w:t xml:space="preserve">PEWS (Paediatric Early Warning Score) chart. </w:t>
      </w:r>
    </w:p>
    <w:p w:rsidR="009A09C6" w:rsidRDefault="009A09C6" w:rsidP="00967A72">
      <w:pPr>
        <w:spacing w:before="480" w:after="240" w:line="240" w:lineRule="auto"/>
        <w:ind w:left="720"/>
        <w:rPr>
          <w:sz w:val="24"/>
          <w:szCs w:val="24"/>
        </w:rPr>
      </w:pPr>
      <w:r>
        <w:rPr>
          <w:sz w:val="24"/>
          <w:szCs w:val="24"/>
        </w:rPr>
        <w:t xml:space="preserve">Please ensure </w:t>
      </w:r>
      <w:r w:rsidR="003841AE">
        <w:rPr>
          <w:sz w:val="24"/>
          <w:szCs w:val="24"/>
        </w:rPr>
        <w:t xml:space="preserve">enteral </w:t>
      </w:r>
      <w:r>
        <w:rPr>
          <w:sz w:val="24"/>
          <w:szCs w:val="24"/>
        </w:rPr>
        <w:t xml:space="preserve">calcium </w:t>
      </w:r>
      <w:r w:rsidR="003841AE">
        <w:rPr>
          <w:sz w:val="24"/>
          <w:szCs w:val="24"/>
        </w:rPr>
        <w:t xml:space="preserve">supplementation </w:t>
      </w:r>
      <w:r>
        <w:rPr>
          <w:sz w:val="24"/>
          <w:szCs w:val="24"/>
        </w:rPr>
        <w:t xml:space="preserve">is prescribed on </w:t>
      </w:r>
      <w:r w:rsidR="003841AE">
        <w:rPr>
          <w:sz w:val="24"/>
          <w:szCs w:val="24"/>
        </w:rPr>
        <w:t xml:space="preserve">the patient’s </w:t>
      </w:r>
      <w:r w:rsidR="00CB7BC5">
        <w:rPr>
          <w:sz w:val="24"/>
          <w:szCs w:val="24"/>
        </w:rPr>
        <w:t xml:space="preserve">medication prescription and administration record </w:t>
      </w:r>
      <w:r w:rsidR="003841AE">
        <w:rPr>
          <w:sz w:val="24"/>
          <w:szCs w:val="24"/>
        </w:rPr>
        <w:t>for three</w:t>
      </w:r>
      <w:r>
        <w:rPr>
          <w:sz w:val="24"/>
          <w:szCs w:val="24"/>
        </w:rPr>
        <w:t xml:space="preserve"> days post-infusion</w:t>
      </w:r>
      <w:r w:rsidR="003841AE">
        <w:rPr>
          <w:sz w:val="24"/>
          <w:szCs w:val="24"/>
        </w:rPr>
        <w:t>, as per dosing schedule above.</w:t>
      </w:r>
    </w:p>
    <w:p w:rsidR="00236DF9" w:rsidRDefault="0054386D" w:rsidP="00967A72">
      <w:pPr>
        <w:spacing w:before="480" w:after="240" w:line="240" w:lineRule="auto"/>
        <w:ind w:left="720"/>
        <w:rPr>
          <w:sz w:val="24"/>
          <w:szCs w:val="24"/>
        </w:rPr>
      </w:pPr>
      <w:r w:rsidRPr="00014541">
        <w:rPr>
          <w:sz w:val="24"/>
          <w:szCs w:val="24"/>
        </w:rPr>
        <w:t>Following the</w:t>
      </w:r>
      <w:r w:rsidR="007C6CEE">
        <w:rPr>
          <w:sz w:val="24"/>
          <w:szCs w:val="24"/>
        </w:rPr>
        <w:t xml:space="preserve"> first</w:t>
      </w:r>
      <w:r w:rsidRPr="00014541">
        <w:rPr>
          <w:sz w:val="24"/>
          <w:szCs w:val="24"/>
        </w:rPr>
        <w:t xml:space="preserve"> infusion, </w:t>
      </w:r>
      <w:r w:rsidR="007C6CEE">
        <w:rPr>
          <w:sz w:val="24"/>
          <w:szCs w:val="24"/>
        </w:rPr>
        <w:t xml:space="preserve">all </w:t>
      </w:r>
      <w:r w:rsidRPr="00014541">
        <w:rPr>
          <w:sz w:val="24"/>
          <w:szCs w:val="24"/>
        </w:rPr>
        <w:t>patients require a blood gas to check ionised calc</w:t>
      </w:r>
      <w:r w:rsidR="00014541" w:rsidRPr="00014541">
        <w:rPr>
          <w:sz w:val="24"/>
          <w:szCs w:val="24"/>
        </w:rPr>
        <w:t xml:space="preserve">ium </w:t>
      </w:r>
      <w:r w:rsidR="00014541" w:rsidRPr="009C5084">
        <w:rPr>
          <w:b/>
          <w:sz w:val="24"/>
          <w:szCs w:val="24"/>
        </w:rPr>
        <w:t>every twelve hours for twenty-four hours</w:t>
      </w:r>
      <w:r w:rsidR="00014541" w:rsidRPr="00014541">
        <w:rPr>
          <w:sz w:val="24"/>
          <w:szCs w:val="24"/>
        </w:rPr>
        <w:t>. Post-zoledronate hypocalcaemia is usually mild, tr</w:t>
      </w:r>
      <w:r w:rsidR="00014541">
        <w:rPr>
          <w:sz w:val="24"/>
          <w:szCs w:val="24"/>
        </w:rPr>
        <w:t>ansient and asymptomatic. If hypocalcaemia</w:t>
      </w:r>
      <w:r w:rsidR="00014541" w:rsidRPr="00014541">
        <w:rPr>
          <w:sz w:val="24"/>
          <w:szCs w:val="24"/>
        </w:rPr>
        <w:t xml:space="preserve"> occurs, give </w:t>
      </w:r>
      <w:r w:rsidR="00014541" w:rsidRPr="00D96CCA">
        <w:rPr>
          <w:sz w:val="24"/>
          <w:szCs w:val="24"/>
        </w:rPr>
        <w:t>additional doses of oral calcium</w:t>
      </w:r>
      <w:r w:rsidR="009A09C6" w:rsidRPr="00D96CCA">
        <w:rPr>
          <w:sz w:val="24"/>
          <w:szCs w:val="24"/>
        </w:rPr>
        <w:t>, in addition to pre-prescribed calcium</w:t>
      </w:r>
      <w:r w:rsidR="00CB7BC5" w:rsidRPr="00D96CCA">
        <w:rPr>
          <w:sz w:val="24"/>
          <w:szCs w:val="24"/>
        </w:rPr>
        <w:t xml:space="preserve">, as per separate </w:t>
      </w:r>
      <w:r w:rsidR="009A09C6" w:rsidRPr="00D96CCA">
        <w:rPr>
          <w:sz w:val="24"/>
          <w:szCs w:val="24"/>
        </w:rPr>
        <w:t>guideline</w:t>
      </w:r>
      <w:r w:rsidR="00CB7BC5" w:rsidRPr="00D96CCA">
        <w:rPr>
          <w:sz w:val="24"/>
          <w:szCs w:val="24"/>
        </w:rPr>
        <w:t xml:space="preserve"> ‘</w:t>
      </w:r>
      <w:r w:rsidR="00CB7BC5" w:rsidRPr="00D96CCA">
        <w:rPr>
          <w:bCs/>
          <w:sz w:val="24"/>
          <w:szCs w:val="24"/>
        </w:rPr>
        <w:t>Guideline for Management of Hypocalcaemia in Children and Neonates admitted to RHCYP’</w:t>
      </w:r>
      <w:r w:rsidR="00014541" w:rsidRPr="00D96CCA">
        <w:rPr>
          <w:sz w:val="24"/>
          <w:szCs w:val="24"/>
        </w:rPr>
        <w:t xml:space="preserve">. </w:t>
      </w:r>
      <w:r w:rsidR="00791C95" w:rsidRPr="00D96CCA">
        <w:rPr>
          <w:sz w:val="24"/>
          <w:szCs w:val="24"/>
        </w:rPr>
        <w:t>Alfacalcidol could also be</w:t>
      </w:r>
      <w:r w:rsidR="00791C95">
        <w:rPr>
          <w:sz w:val="24"/>
          <w:szCs w:val="24"/>
        </w:rPr>
        <w:t xml:space="preserve"> considered if calcium remains low (doses as per BNFc).</w:t>
      </w:r>
      <w:r w:rsidR="00782F9F">
        <w:rPr>
          <w:sz w:val="24"/>
          <w:szCs w:val="24"/>
        </w:rPr>
        <w:t xml:space="preserve"> </w:t>
      </w:r>
    </w:p>
    <w:p w:rsidR="00014541" w:rsidRPr="00014541" w:rsidRDefault="00014541" w:rsidP="00967A72">
      <w:pPr>
        <w:spacing w:before="480" w:after="240" w:line="240" w:lineRule="auto"/>
        <w:ind w:left="720"/>
        <w:rPr>
          <w:sz w:val="24"/>
          <w:szCs w:val="24"/>
        </w:rPr>
      </w:pPr>
      <w:r>
        <w:rPr>
          <w:sz w:val="24"/>
          <w:szCs w:val="24"/>
        </w:rPr>
        <w:t>Hypocalcaemia</w:t>
      </w:r>
      <w:r w:rsidRPr="00014541">
        <w:rPr>
          <w:sz w:val="24"/>
          <w:szCs w:val="24"/>
        </w:rPr>
        <w:t xml:space="preserve"> can be avoided </w:t>
      </w:r>
      <w:r>
        <w:rPr>
          <w:sz w:val="24"/>
          <w:szCs w:val="24"/>
        </w:rPr>
        <w:t xml:space="preserve">in future </w:t>
      </w:r>
      <w:r w:rsidRPr="00014541">
        <w:rPr>
          <w:sz w:val="24"/>
          <w:szCs w:val="24"/>
        </w:rPr>
        <w:t>by giving a higher dose of calcium supple</w:t>
      </w:r>
      <w:r w:rsidR="00782F9F">
        <w:rPr>
          <w:sz w:val="24"/>
          <w:szCs w:val="24"/>
        </w:rPr>
        <w:t>mentation</w:t>
      </w:r>
      <w:r w:rsidR="007C6CEE">
        <w:rPr>
          <w:sz w:val="24"/>
          <w:szCs w:val="24"/>
        </w:rPr>
        <w:t xml:space="preserve"> prior to subsequent infusions and</w:t>
      </w:r>
      <w:r w:rsidRPr="00014541">
        <w:rPr>
          <w:sz w:val="24"/>
          <w:szCs w:val="24"/>
        </w:rPr>
        <w:t xml:space="preserve"> ensuring that the patient is not Vitamin D deficient.</w:t>
      </w:r>
    </w:p>
    <w:p w:rsidR="00014541" w:rsidRDefault="00E32D47" w:rsidP="00967A72">
      <w:pPr>
        <w:spacing w:before="480" w:after="240" w:line="240" w:lineRule="auto"/>
        <w:ind w:firstLine="720"/>
        <w:rPr>
          <w:sz w:val="24"/>
          <w:szCs w:val="24"/>
        </w:rPr>
      </w:pPr>
      <w:r>
        <w:rPr>
          <w:sz w:val="24"/>
          <w:szCs w:val="24"/>
        </w:rPr>
        <w:t>All p</w:t>
      </w:r>
      <w:r w:rsidR="00014541">
        <w:rPr>
          <w:sz w:val="24"/>
          <w:szCs w:val="24"/>
        </w:rPr>
        <w:t>atients should continue oral calcium supp</w:t>
      </w:r>
      <w:r w:rsidR="00845330">
        <w:rPr>
          <w:sz w:val="24"/>
          <w:szCs w:val="24"/>
        </w:rPr>
        <w:t>lements for three days after each</w:t>
      </w:r>
      <w:r w:rsidR="00014541">
        <w:rPr>
          <w:sz w:val="24"/>
          <w:szCs w:val="24"/>
        </w:rPr>
        <w:t xml:space="preserve"> infusion.</w:t>
      </w:r>
    </w:p>
    <w:p w:rsidR="0054386D" w:rsidRDefault="0054386D" w:rsidP="0054386D">
      <w:pPr>
        <w:spacing w:before="480" w:after="240" w:line="240" w:lineRule="auto"/>
        <w:rPr>
          <w:b/>
          <w:sz w:val="24"/>
          <w:szCs w:val="24"/>
          <w:u w:val="single"/>
        </w:rPr>
      </w:pPr>
      <w:r w:rsidRPr="0054386D">
        <w:rPr>
          <w:b/>
          <w:sz w:val="24"/>
          <w:szCs w:val="24"/>
          <w:u w:val="single"/>
        </w:rPr>
        <w:t xml:space="preserve">5.3. </w:t>
      </w:r>
      <w:r w:rsidR="00CB7BC5">
        <w:rPr>
          <w:b/>
          <w:sz w:val="24"/>
          <w:szCs w:val="24"/>
          <w:u w:val="single"/>
        </w:rPr>
        <w:t xml:space="preserve">For </w:t>
      </w:r>
      <w:r w:rsidRPr="0054386D">
        <w:rPr>
          <w:b/>
          <w:sz w:val="24"/>
          <w:szCs w:val="24"/>
          <w:u w:val="single"/>
        </w:rPr>
        <w:t>subsequent admission</w:t>
      </w:r>
      <w:r>
        <w:rPr>
          <w:b/>
          <w:sz w:val="24"/>
          <w:szCs w:val="24"/>
          <w:u w:val="single"/>
        </w:rPr>
        <w:t>s</w:t>
      </w:r>
    </w:p>
    <w:p w:rsidR="00014541" w:rsidRDefault="00014541" w:rsidP="00967A72">
      <w:pPr>
        <w:spacing w:before="480" w:after="240" w:line="240" w:lineRule="auto"/>
        <w:ind w:left="720"/>
        <w:rPr>
          <w:sz w:val="24"/>
          <w:szCs w:val="24"/>
        </w:rPr>
      </w:pPr>
      <w:r>
        <w:rPr>
          <w:sz w:val="24"/>
          <w:szCs w:val="24"/>
        </w:rPr>
        <w:t>Ensure that calcium supplements have been taken for the three days prior</w:t>
      </w:r>
      <w:r w:rsidR="00C66509">
        <w:rPr>
          <w:sz w:val="24"/>
          <w:szCs w:val="24"/>
        </w:rPr>
        <w:t xml:space="preserve"> to,</w:t>
      </w:r>
      <w:r>
        <w:rPr>
          <w:sz w:val="24"/>
          <w:szCs w:val="24"/>
        </w:rPr>
        <w:t xml:space="preserve"> and the day of admission.</w:t>
      </w:r>
    </w:p>
    <w:p w:rsidR="0054386D" w:rsidRDefault="004252F9" w:rsidP="00340627">
      <w:pPr>
        <w:spacing w:after="0" w:line="240" w:lineRule="auto"/>
        <w:ind w:left="720"/>
        <w:rPr>
          <w:b/>
          <w:sz w:val="24"/>
          <w:szCs w:val="24"/>
        </w:rPr>
      </w:pPr>
      <w:r>
        <w:rPr>
          <w:sz w:val="24"/>
          <w:szCs w:val="24"/>
        </w:rPr>
        <w:t>Patients should</w:t>
      </w:r>
      <w:r w:rsidR="0054386D">
        <w:rPr>
          <w:sz w:val="24"/>
          <w:szCs w:val="24"/>
        </w:rPr>
        <w:t xml:space="preserve"> have urgent bloods sent for U&amp;Es</w:t>
      </w:r>
      <w:r w:rsidR="005C0802">
        <w:rPr>
          <w:sz w:val="24"/>
          <w:szCs w:val="24"/>
        </w:rPr>
        <w:t xml:space="preserve"> and creatinine</w:t>
      </w:r>
      <w:r w:rsidR="0054386D">
        <w:rPr>
          <w:sz w:val="24"/>
          <w:szCs w:val="24"/>
        </w:rPr>
        <w:t>, LFTs, calcium, magnesium and phosphate</w:t>
      </w:r>
      <w:r w:rsidR="00770ED3">
        <w:rPr>
          <w:sz w:val="24"/>
          <w:szCs w:val="24"/>
        </w:rPr>
        <w:t>, as well as</w:t>
      </w:r>
      <w:r w:rsidR="005C0802">
        <w:rPr>
          <w:sz w:val="24"/>
          <w:szCs w:val="24"/>
        </w:rPr>
        <w:t xml:space="preserve"> vitamin D if not measured within the last year. </w:t>
      </w:r>
      <w:r w:rsidR="00770ED3">
        <w:rPr>
          <w:b/>
          <w:sz w:val="24"/>
          <w:szCs w:val="24"/>
        </w:rPr>
        <w:t>R</w:t>
      </w:r>
      <w:r w:rsidR="002B3877" w:rsidRPr="0054386D">
        <w:rPr>
          <w:b/>
          <w:sz w:val="24"/>
          <w:szCs w:val="24"/>
        </w:rPr>
        <w:t xml:space="preserve">esults </w:t>
      </w:r>
      <w:r>
        <w:rPr>
          <w:b/>
          <w:sz w:val="24"/>
          <w:szCs w:val="24"/>
        </w:rPr>
        <w:t xml:space="preserve">must be </w:t>
      </w:r>
      <w:r w:rsidR="002B3877">
        <w:rPr>
          <w:b/>
          <w:sz w:val="24"/>
          <w:szCs w:val="24"/>
        </w:rPr>
        <w:t>reviewed</w:t>
      </w:r>
      <w:r w:rsidR="002B3877" w:rsidRPr="0054386D">
        <w:rPr>
          <w:b/>
          <w:sz w:val="24"/>
          <w:szCs w:val="24"/>
        </w:rPr>
        <w:t xml:space="preserve"> prior to commencement of infusion</w:t>
      </w:r>
      <w:r>
        <w:rPr>
          <w:b/>
          <w:sz w:val="24"/>
          <w:szCs w:val="24"/>
        </w:rPr>
        <w:t xml:space="preserve"> to ensure normal renal function</w:t>
      </w:r>
      <w:r w:rsidR="00F66926">
        <w:rPr>
          <w:b/>
          <w:sz w:val="24"/>
          <w:szCs w:val="24"/>
        </w:rPr>
        <w:t xml:space="preserve"> - unless normal renal function has been confirmed in the preceding four weeks.</w:t>
      </w:r>
    </w:p>
    <w:p w:rsidR="00340627" w:rsidRDefault="00340627" w:rsidP="00340627">
      <w:pPr>
        <w:spacing w:after="0" w:line="240" w:lineRule="auto"/>
        <w:ind w:left="720"/>
        <w:rPr>
          <w:b/>
          <w:sz w:val="24"/>
          <w:szCs w:val="24"/>
        </w:rPr>
      </w:pPr>
    </w:p>
    <w:p w:rsidR="00E019BE" w:rsidRDefault="002B3877" w:rsidP="00967A72">
      <w:pPr>
        <w:spacing w:after="240" w:line="240" w:lineRule="auto"/>
        <w:ind w:left="720"/>
        <w:rPr>
          <w:sz w:val="24"/>
          <w:szCs w:val="24"/>
        </w:rPr>
      </w:pPr>
      <w:r w:rsidRPr="00014541">
        <w:rPr>
          <w:sz w:val="24"/>
          <w:szCs w:val="24"/>
        </w:rPr>
        <w:t xml:space="preserve">Provided </w:t>
      </w:r>
      <w:r w:rsidR="006F0973">
        <w:rPr>
          <w:sz w:val="24"/>
          <w:szCs w:val="24"/>
        </w:rPr>
        <w:t xml:space="preserve">the </w:t>
      </w:r>
      <w:r w:rsidRPr="00014541">
        <w:rPr>
          <w:sz w:val="24"/>
          <w:szCs w:val="24"/>
        </w:rPr>
        <w:t>infusion is well tolerated, patients can go home straight afterwards</w:t>
      </w:r>
      <w:r w:rsidR="00014541">
        <w:rPr>
          <w:sz w:val="24"/>
          <w:szCs w:val="24"/>
        </w:rPr>
        <w:t xml:space="preserve"> to continue their three</w:t>
      </w:r>
      <w:r w:rsidR="006F0973">
        <w:rPr>
          <w:sz w:val="24"/>
          <w:szCs w:val="24"/>
        </w:rPr>
        <w:t xml:space="preserve"> further</w:t>
      </w:r>
      <w:r w:rsidR="00014541">
        <w:rPr>
          <w:sz w:val="24"/>
          <w:szCs w:val="24"/>
        </w:rPr>
        <w:t xml:space="preserve"> days of oral calcium</w:t>
      </w:r>
      <w:r w:rsidRPr="00014541">
        <w:rPr>
          <w:sz w:val="24"/>
          <w:szCs w:val="24"/>
        </w:rPr>
        <w:t>.</w:t>
      </w:r>
    </w:p>
    <w:p w:rsidR="00340627" w:rsidRDefault="00340627" w:rsidP="00340627">
      <w:pPr>
        <w:rPr>
          <w:sz w:val="24"/>
          <w:szCs w:val="24"/>
        </w:rPr>
      </w:pPr>
    </w:p>
    <w:p w:rsidR="00CB7BC5" w:rsidRDefault="00CB7BC5" w:rsidP="00340627">
      <w:pPr>
        <w:rPr>
          <w:sz w:val="24"/>
          <w:szCs w:val="24"/>
        </w:rPr>
      </w:pPr>
    </w:p>
    <w:p w:rsidR="00CB7BC5" w:rsidRDefault="00CB7BC5" w:rsidP="00340627">
      <w:pPr>
        <w:rPr>
          <w:sz w:val="24"/>
          <w:szCs w:val="24"/>
        </w:rPr>
      </w:pPr>
    </w:p>
    <w:p w:rsidR="00340627" w:rsidRDefault="006F0973" w:rsidP="00340627">
      <w:pPr>
        <w:rPr>
          <w:sz w:val="24"/>
          <w:szCs w:val="24"/>
        </w:rPr>
      </w:pPr>
      <w:r w:rsidRPr="00967A72">
        <w:rPr>
          <w:b/>
          <w:sz w:val="24"/>
          <w:szCs w:val="24"/>
          <w:u w:val="single"/>
        </w:rPr>
        <w:t>5.4. Zoledronic acid dosing</w:t>
      </w:r>
      <w:r w:rsidR="005C4A8B" w:rsidRPr="00967A72">
        <w:rPr>
          <w:b/>
          <w:sz w:val="24"/>
          <w:szCs w:val="24"/>
          <w:u w:val="single"/>
        </w:rPr>
        <w:t xml:space="preserve"> </w:t>
      </w:r>
    </w:p>
    <w:p w:rsidR="008A0D62" w:rsidRDefault="005C4A8B" w:rsidP="00340627">
      <w:pPr>
        <w:ind w:left="720"/>
        <w:rPr>
          <w:sz w:val="24"/>
          <w:szCs w:val="24"/>
        </w:rPr>
      </w:pPr>
      <w:r w:rsidRPr="008A0D62">
        <w:rPr>
          <w:sz w:val="24"/>
          <w:szCs w:val="24"/>
        </w:rPr>
        <w:t xml:space="preserve">The dose and frequency of </w:t>
      </w:r>
      <w:proofErr w:type="spellStart"/>
      <w:r w:rsidRPr="008A0D62">
        <w:rPr>
          <w:sz w:val="24"/>
          <w:szCs w:val="24"/>
        </w:rPr>
        <w:t>zoledronic</w:t>
      </w:r>
      <w:proofErr w:type="spellEnd"/>
      <w:r w:rsidRPr="008A0D62">
        <w:rPr>
          <w:sz w:val="24"/>
          <w:szCs w:val="24"/>
        </w:rPr>
        <w:t xml:space="preserve"> </w:t>
      </w:r>
      <w:r w:rsidR="00CB7BC5">
        <w:rPr>
          <w:sz w:val="24"/>
          <w:szCs w:val="24"/>
        </w:rPr>
        <w:t xml:space="preserve">acid </w:t>
      </w:r>
      <w:r w:rsidRPr="008A0D62">
        <w:rPr>
          <w:sz w:val="24"/>
          <w:szCs w:val="24"/>
        </w:rPr>
        <w:t>should always be discussed with a consultant endocrinologist. Starting doses a</w:t>
      </w:r>
      <w:r w:rsidR="00770ED3">
        <w:rPr>
          <w:sz w:val="24"/>
          <w:szCs w:val="24"/>
        </w:rPr>
        <w:t>re detailed below. Some children and young people</w:t>
      </w:r>
      <w:r w:rsidRPr="008A0D62">
        <w:rPr>
          <w:sz w:val="24"/>
          <w:szCs w:val="24"/>
        </w:rPr>
        <w:t xml:space="preserve"> will be on a reduced infusion frequency after the first two years. </w:t>
      </w:r>
    </w:p>
    <w:tbl>
      <w:tblPr>
        <w:tblStyle w:val="TableGrid"/>
        <w:tblW w:w="0" w:type="auto"/>
        <w:tblLook w:val="04A0" w:firstRow="1" w:lastRow="0" w:firstColumn="1" w:lastColumn="0" w:noHBand="0" w:noVBand="1"/>
      </w:tblPr>
      <w:tblGrid>
        <w:gridCol w:w="1615"/>
        <w:gridCol w:w="2296"/>
        <w:gridCol w:w="1938"/>
        <w:gridCol w:w="1942"/>
        <w:gridCol w:w="1951"/>
      </w:tblGrid>
      <w:tr w:rsidR="00D13974" w:rsidRPr="00D13974" w:rsidTr="00D13974">
        <w:tc>
          <w:tcPr>
            <w:tcW w:w="1668" w:type="dxa"/>
          </w:tcPr>
          <w:p w:rsidR="00D13974" w:rsidRPr="00D13974" w:rsidRDefault="00D13974" w:rsidP="00B945A2">
            <w:pPr>
              <w:rPr>
                <w:b/>
                <w:sz w:val="24"/>
                <w:szCs w:val="24"/>
              </w:rPr>
            </w:pPr>
            <w:r w:rsidRPr="00D13974">
              <w:rPr>
                <w:b/>
                <w:sz w:val="24"/>
                <w:szCs w:val="24"/>
              </w:rPr>
              <w:t>Age</w:t>
            </w:r>
          </w:p>
        </w:tc>
        <w:tc>
          <w:tcPr>
            <w:tcW w:w="2318" w:type="dxa"/>
          </w:tcPr>
          <w:p w:rsidR="00D13974" w:rsidRPr="00D13974" w:rsidRDefault="00D13974" w:rsidP="00B945A2">
            <w:pPr>
              <w:rPr>
                <w:b/>
                <w:sz w:val="24"/>
                <w:szCs w:val="24"/>
              </w:rPr>
            </w:pPr>
            <w:r w:rsidRPr="00D13974">
              <w:rPr>
                <w:b/>
                <w:sz w:val="24"/>
                <w:szCs w:val="24"/>
              </w:rPr>
              <w:t xml:space="preserve">Dose </w:t>
            </w:r>
          </w:p>
          <w:p w:rsidR="00D13974" w:rsidRPr="006405E9" w:rsidRDefault="00236DF9" w:rsidP="00B945A2">
            <w:pPr>
              <w:rPr>
                <w:b/>
                <w:i/>
                <w:sz w:val="24"/>
                <w:szCs w:val="24"/>
              </w:rPr>
            </w:pPr>
            <w:r w:rsidRPr="006405E9">
              <w:rPr>
                <w:b/>
                <w:i/>
                <w:sz w:val="24"/>
                <w:szCs w:val="24"/>
              </w:rPr>
              <w:t>(m</w:t>
            </w:r>
            <w:r w:rsidR="00D13974" w:rsidRPr="006405E9">
              <w:rPr>
                <w:b/>
                <w:i/>
                <w:sz w:val="24"/>
                <w:szCs w:val="24"/>
              </w:rPr>
              <w:t>aximum dosage)</w:t>
            </w:r>
          </w:p>
        </w:tc>
        <w:tc>
          <w:tcPr>
            <w:tcW w:w="1994" w:type="dxa"/>
          </w:tcPr>
          <w:p w:rsidR="00D13974" w:rsidRPr="00D13974" w:rsidRDefault="00D13974" w:rsidP="002364A7">
            <w:pPr>
              <w:rPr>
                <w:b/>
                <w:sz w:val="24"/>
                <w:szCs w:val="24"/>
              </w:rPr>
            </w:pPr>
            <w:r w:rsidRPr="00D13974">
              <w:rPr>
                <w:b/>
                <w:sz w:val="24"/>
                <w:szCs w:val="24"/>
              </w:rPr>
              <w:t xml:space="preserve">Volume of sodium chloride </w:t>
            </w:r>
            <w:r w:rsidR="002364A7" w:rsidRPr="00D13974">
              <w:rPr>
                <w:b/>
                <w:sz w:val="24"/>
                <w:szCs w:val="24"/>
              </w:rPr>
              <w:t xml:space="preserve">0.9% </w:t>
            </w:r>
            <w:r w:rsidRPr="00D13974">
              <w:rPr>
                <w:b/>
                <w:sz w:val="24"/>
                <w:szCs w:val="24"/>
              </w:rPr>
              <w:t>infusion bag</w:t>
            </w:r>
          </w:p>
        </w:tc>
        <w:tc>
          <w:tcPr>
            <w:tcW w:w="1994" w:type="dxa"/>
          </w:tcPr>
          <w:p w:rsidR="00D13974" w:rsidRPr="00D13974" w:rsidRDefault="00D13974" w:rsidP="00B945A2">
            <w:pPr>
              <w:rPr>
                <w:b/>
                <w:sz w:val="24"/>
                <w:szCs w:val="24"/>
              </w:rPr>
            </w:pPr>
            <w:r w:rsidRPr="00D13974">
              <w:rPr>
                <w:b/>
                <w:sz w:val="24"/>
                <w:szCs w:val="24"/>
              </w:rPr>
              <w:t>Duration of infusion</w:t>
            </w:r>
          </w:p>
        </w:tc>
        <w:tc>
          <w:tcPr>
            <w:tcW w:w="1994" w:type="dxa"/>
          </w:tcPr>
          <w:p w:rsidR="00D13974" w:rsidRPr="00D13974" w:rsidRDefault="00D13974" w:rsidP="00B945A2">
            <w:pPr>
              <w:rPr>
                <w:b/>
                <w:sz w:val="24"/>
                <w:szCs w:val="24"/>
              </w:rPr>
            </w:pPr>
            <w:r w:rsidRPr="00D13974">
              <w:rPr>
                <w:b/>
                <w:sz w:val="24"/>
                <w:szCs w:val="24"/>
              </w:rPr>
              <w:t>Frequency of infusion</w:t>
            </w:r>
            <w:r w:rsidR="00236DF9">
              <w:rPr>
                <w:b/>
                <w:sz w:val="24"/>
                <w:szCs w:val="24"/>
              </w:rPr>
              <w:t>s</w:t>
            </w:r>
          </w:p>
        </w:tc>
      </w:tr>
      <w:tr w:rsidR="00D13974" w:rsidTr="00D13974">
        <w:tc>
          <w:tcPr>
            <w:tcW w:w="1668" w:type="dxa"/>
          </w:tcPr>
          <w:p w:rsidR="00D13974" w:rsidRDefault="00D13974" w:rsidP="00B945A2">
            <w:pPr>
              <w:rPr>
                <w:sz w:val="24"/>
                <w:szCs w:val="24"/>
              </w:rPr>
            </w:pPr>
            <w:r>
              <w:rPr>
                <w:sz w:val="24"/>
                <w:szCs w:val="24"/>
              </w:rPr>
              <w:t>&lt;</w:t>
            </w:r>
            <w:r w:rsidR="006405E9">
              <w:rPr>
                <w:sz w:val="24"/>
                <w:szCs w:val="24"/>
              </w:rPr>
              <w:t xml:space="preserve"> </w:t>
            </w:r>
            <w:r>
              <w:rPr>
                <w:sz w:val="24"/>
                <w:szCs w:val="24"/>
              </w:rPr>
              <w:t>2 years</w:t>
            </w:r>
          </w:p>
        </w:tc>
        <w:tc>
          <w:tcPr>
            <w:tcW w:w="2318" w:type="dxa"/>
          </w:tcPr>
          <w:p w:rsidR="00D13974" w:rsidRPr="00D13974" w:rsidRDefault="00D13974" w:rsidP="00B945A2">
            <w:pPr>
              <w:rPr>
                <w:sz w:val="24"/>
                <w:szCs w:val="24"/>
              </w:rPr>
            </w:pPr>
            <w:r w:rsidRPr="00D13974">
              <w:rPr>
                <w:sz w:val="24"/>
                <w:szCs w:val="24"/>
              </w:rPr>
              <w:t>25micrograms/kg</w:t>
            </w:r>
          </w:p>
          <w:p w:rsidR="00D13974" w:rsidRPr="00D13974" w:rsidRDefault="00D13974" w:rsidP="00B945A2">
            <w:pPr>
              <w:rPr>
                <w:sz w:val="24"/>
                <w:szCs w:val="24"/>
              </w:rPr>
            </w:pPr>
            <w:r w:rsidRPr="00D13974">
              <w:rPr>
                <w:sz w:val="24"/>
                <w:szCs w:val="24"/>
              </w:rPr>
              <w:t>(max</w:t>
            </w:r>
            <w:r w:rsidR="00236DF9">
              <w:rPr>
                <w:sz w:val="24"/>
                <w:szCs w:val="24"/>
              </w:rPr>
              <w:t>.</w:t>
            </w:r>
            <w:r w:rsidRPr="00D13974">
              <w:rPr>
                <w:sz w:val="24"/>
                <w:szCs w:val="24"/>
              </w:rPr>
              <w:t xml:space="preserve"> 2m</w:t>
            </w:r>
            <w:r w:rsidR="00340627">
              <w:rPr>
                <w:sz w:val="24"/>
                <w:szCs w:val="24"/>
              </w:rPr>
              <w:t>g</w:t>
            </w:r>
            <w:r w:rsidRPr="00D13974">
              <w:rPr>
                <w:sz w:val="24"/>
                <w:szCs w:val="24"/>
              </w:rPr>
              <w:t>)</w:t>
            </w:r>
          </w:p>
        </w:tc>
        <w:tc>
          <w:tcPr>
            <w:tcW w:w="1994" w:type="dxa"/>
          </w:tcPr>
          <w:p w:rsidR="00D13974" w:rsidRDefault="00D13974" w:rsidP="00B945A2">
            <w:pPr>
              <w:rPr>
                <w:sz w:val="24"/>
                <w:szCs w:val="24"/>
              </w:rPr>
            </w:pPr>
            <w:r>
              <w:rPr>
                <w:sz w:val="24"/>
                <w:szCs w:val="24"/>
              </w:rPr>
              <w:t>50ml</w:t>
            </w:r>
          </w:p>
        </w:tc>
        <w:tc>
          <w:tcPr>
            <w:tcW w:w="1994" w:type="dxa"/>
          </w:tcPr>
          <w:p w:rsidR="00D13974" w:rsidRDefault="00D13974" w:rsidP="00B945A2">
            <w:pPr>
              <w:rPr>
                <w:sz w:val="24"/>
                <w:szCs w:val="24"/>
              </w:rPr>
            </w:pPr>
            <w:r>
              <w:rPr>
                <w:sz w:val="24"/>
                <w:szCs w:val="24"/>
              </w:rPr>
              <w:t>45 minutes</w:t>
            </w:r>
          </w:p>
        </w:tc>
        <w:tc>
          <w:tcPr>
            <w:tcW w:w="1994" w:type="dxa"/>
          </w:tcPr>
          <w:p w:rsidR="00D13974" w:rsidRDefault="00D13974" w:rsidP="00B945A2">
            <w:pPr>
              <w:rPr>
                <w:sz w:val="24"/>
                <w:szCs w:val="24"/>
              </w:rPr>
            </w:pPr>
            <w:r>
              <w:rPr>
                <w:sz w:val="24"/>
                <w:szCs w:val="24"/>
              </w:rPr>
              <w:t>3 monthly</w:t>
            </w:r>
          </w:p>
        </w:tc>
      </w:tr>
      <w:tr w:rsidR="00D13974" w:rsidTr="00D13974">
        <w:tc>
          <w:tcPr>
            <w:tcW w:w="1668" w:type="dxa"/>
          </w:tcPr>
          <w:p w:rsidR="00D13974" w:rsidRDefault="00D13974" w:rsidP="00B945A2">
            <w:pPr>
              <w:rPr>
                <w:sz w:val="24"/>
                <w:szCs w:val="24"/>
              </w:rPr>
            </w:pPr>
            <w:r>
              <w:rPr>
                <w:sz w:val="24"/>
                <w:szCs w:val="24"/>
              </w:rPr>
              <w:t>2-5 years</w:t>
            </w:r>
          </w:p>
        </w:tc>
        <w:tc>
          <w:tcPr>
            <w:tcW w:w="2318" w:type="dxa"/>
          </w:tcPr>
          <w:p w:rsidR="00D13974" w:rsidRPr="00D13974" w:rsidRDefault="00D13974" w:rsidP="00D13974">
            <w:pPr>
              <w:rPr>
                <w:sz w:val="24"/>
                <w:szCs w:val="24"/>
              </w:rPr>
            </w:pPr>
            <w:r w:rsidRPr="00D13974">
              <w:rPr>
                <w:sz w:val="24"/>
                <w:szCs w:val="24"/>
              </w:rPr>
              <w:t>35micrograms/kg</w:t>
            </w:r>
          </w:p>
          <w:p w:rsidR="00D13974" w:rsidRPr="00D13974" w:rsidRDefault="00D13974" w:rsidP="00340627">
            <w:pPr>
              <w:rPr>
                <w:sz w:val="24"/>
                <w:szCs w:val="24"/>
              </w:rPr>
            </w:pPr>
            <w:r w:rsidRPr="00D13974">
              <w:rPr>
                <w:sz w:val="24"/>
                <w:szCs w:val="24"/>
              </w:rPr>
              <w:t>(max</w:t>
            </w:r>
            <w:r w:rsidR="00236DF9">
              <w:rPr>
                <w:sz w:val="24"/>
                <w:szCs w:val="24"/>
              </w:rPr>
              <w:t>.</w:t>
            </w:r>
            <w:r w:rsidRPr="00D13974">
              <w:rPr>
                <w:sz w:val="24"/>
                <w:szCs w:val="24"/>
              </w:rPr>
              <w:t xml:space="preserve"> 2m</w:t>
            </w:r>
            <w:r w:rsidR="00340627">
              <w:rPr>
                <w:sz w:val="24"/>
                <w:szCs w:val="24"/>
              </w:rPr>
              <w:t>g</w:t>
            </w:r>
            <w:r w:rsidRPr="00D13974">
              <w:rPr>
                <w:sz w:val="24"/>
                <w:szCs w:val="24"/>
              </w:rPr>
              <w:t>)</w:t>
            </w:r>
          </w:p>
        </w:tc>
        <w:tc>
          <w:tcPr>
            <w:tcW w:w="1994" w:type="dxa"/>
          </w:tcPr>
          <w:p w:rsidR="00D13974" w:rsidRPr="006405E9" w:rsidRDefault="006405E9" w:rsidP="006405E9">
            <w:pPr>
              <w:jc w:val="both"/>
              <w:rPr>
                <w:sz w:val="24"/>
                <w:szCs w:val="24"/>
              </w:rPr>
            </w:pPr>
            <w:r>
              <w:rPr>
                <w:sz w:val="24"/>
                <w:szCs w:val="24"/>
              </w:rPr>
              <w:t>100</w:t>
            </w:r>
            <w:r w:rsidR="00D13974" w:rsidRPr="006405E9">
              <w:rPr>
                <w:sz w:val="24"/>
                <w:szCs w:val="24"/>
              </w:rPr>
              <w:t>ml</w:t>
            </w:r>
          </w:p>
        </w:tc>
        <w:tc>
          <w:tcPr>
            <w:tcW w:w="1994" w:type="dxa"/>
          </w:tcPr>
          <w:p w:rsidR="00D13974" w:rsidRPr="006405E9" w:rsidRDefault="006405E9" w:rsidP="006405E9">
            <w:pPr>
              <w:rPr>
                <w:sz w:val="24"/>
                <w:szCs w:val="24"/>
              </w:rPr>
            </w:pPr>
            <w:r>
              <w:rPr>
                <w:sz w:val="24"/>
                <w:szCs w:val="24"/>
              </w:rPr>
              <w:t xml:space="preserve">45 </w:t>
            </w:r>
            <w:r w:rsidR="00D13974" w:rsidRPr="006405E9">
              <w:rPr>
                <w:sz w:val="24"/>
                <w:szCs w:val="24"/>
              </w:rPr>
              <w:t>minutes</w:t>
            </w:r>
          </w:p>
        </w:tc>
        <w:tc>
          <w:tcPr>
            <w:tcW w:w="1994" w:type="dxa"/>
          </w:tcPr>
          <w:p w:rsidR="00D13974" w:rsidRPr="006405E9" w:rsidRDefault="006405E9" w:rsidP="006405E9">
            <w:pPr>
              <w:rPr>
                <w:sz w:val="24"/>
                <w:szCs w:val="24"/>
              </w:rPr>
            </w:pPr>
            <w:r>
              <w:rPr>
                <w:sz w:val="24"/>
                <w:szCs w:val="24"/>
              </w:rPr>
              <w:t xml:space="preserve">4 </w:t>
            </w:r>
            <w:r w:rsidR="00D13974" w:rsidRPr="006405E9">
              <w:rPr>
                <w:sz w:val="24"/>
                <w:szCs w:val="24"/>
              </w:rPr>
              <w:t>monthly</w:t>
            </w:r>
          </w:p>
        </w:tc>
      </w:tr>
      <w:tr w:rsidR="00D13974" w:rsidTr="00D13974">
        <w:tc>
          <w:tcPr>
            <w:tcW w:w="1668" w:type="dxa"/>
          </w:tcPr>
          <w:p w:rsidR="00D13974" w:rsidRPr="006405E9" w:rsidRDefault="006405E9" w:rsidP="006405E9">
            <w:pPr>
              <w:rPr>
                <w:sz w:val="24"/>
                <w:szCs w:val="24"/>
              </w:rPr>
            </w:pPr>
            <w:r>
              <w:rPr>
                <w:sz w:val="24"/>
                <w:szCs w:val="24"/>
              </w:rPr>
              <w:t>&gt;</w:t>
            </w:r>
            <w:r w:rsidR="00D13974" w:rsidRPr="006405E9">
              <w:rPr>
                <w:sz w:val="24"/>
                <w:szCs w:val="24"/>
              </w:rPr>
              <w:t>5 years</w:t>
            </w:r>
          </w:p>
        </w:tc>
        <w:tc>
          <w:tcPr>
            <w:tcW w:w="2318" w:type="dxa"/>
          </w:tcPr>
          <w:p w:rsidR="00D13974" w:rsidRPr="00D13974" w:rsidRDefault="00D13974" w:rsidP="00D13974">
            <w:pPr>
              <w:rPr>
                <w:sz w:val="24"/>
                <w:szCs w:val="24"/>
              </w:rPr>
            </w:pPr>
            <w:r w:rsidRPr="00D13974">
              <w:rPr>
                <w:sz w:val="24"/>
                <w:szCs w:val="24"/>
              </w:rPr>
              <w:t>50</w:t>
            </w:r>
            <w:bookmarkStart w:id="0" w:name="_GoBack"/>
            <w:bookmarkEnd w:id="0"/>
            <w:r w:rsidRPr="00D13974">
              <w:rPr>
                <w:sz w:val="24"/>
                <w:szCs w:val="24"/>
              </w:rPr>
              <w:t>micrograms/kg</w:t>
            </w:r>
          </w:p>
          <w:p w:rsidR="00D13974" w:rsidRPr="00D13974" w:rsidRDefault="00D13974" w:rsidP="00340627">
            <w:pPr>
              <w:rPr>
                <w:sz w:val="24"/>
                <w:szCs w:val="24"/>
              </w:rPr>
            </w:pPr>
            <w:r w:rsidRPr="00D13974">
              <w:rPr>
                <w:sz w:val="24"/>
                <w:szCs w:val="24"/>
              </w:rPr>
              <w:t>(max</w:t>
            </w:r>
            <w:r w:rsidR="00236DF9">
              <w:rPr>
                <w:sz w:val="24"/>
                <w:szCs w:val="24"/>
              </w:rPr>
              <w:t>.</w:t>
            </w:r>
            <w:r w:rsidRPr="00D13974">
              <w:rPr>
                <w:sz w:val="24"/>
                <w:szCs w:val="24"/>
              </w:rPr>
              <w:t xml:space="preserve"> </w:t>
            </w:r>
            <w:r>
              <w:rPr>
                <w:sz w:val="24"/>
                <w:szCs w:val="24"/>
              </w:rPr>
              <w:t>4</w:t>
            </w:r>
            <w:r w:rsidRPr="00D13974">
              <w:rPr>
                <w:sz w:val="24"/>
                <w:szCs w:val="24"/>
              </w:rPr>
              <w:t>m</w:t>
            </w:r>
            <w:r w:rsidR="00340627">
              <w:rPr>
                <w:sz w:val="24"/>
                <w:szCs w:val="24"/>
              </w:rPr>
              <w:t>g</w:t>
            </w:r>
            <w:r w:rsidRPr="00D13974">
              <w:rPr>
                <w:sz w:val="24"/>
                <w:szCs w:val="24"/>
              </w:rPr>
              <w:t>)</w:t>
            </w:r>
          </w:p>
        </w:tc>
        <w:tc>
          <w:tcPr>
            <w:tcW w:w="1994" w:type="dxa"/>
          </w:tcPr>
          <w:p w:rsidR="00D13974" w:rsidRDefault="00D13974" w:rsidP="00B945A2">
            <w:pPr>
              <w:rPr>
                <w:sz w:val="24"/>
                <w:szCs w:val="24"/>
              </w:rPr>
            </w:pPr>
            <w:r>
              <w:rPr>
                <w:sz w:val="24"/>
                <w:szCs w:val="24"/>
              </w:rPr>
              <w:t>100ml</w:t>
            </w:r>
          </w:p>
        </w:tc>
        <w:tc>
          <w:tcPr>
            <w:tcW w:w="1994" w:type="dxa"/>
          </w:tcPr>
          <w:p w:rsidR="00D13974" w:rsidRDefault="00D13974" w:rsidP="00B945A2">
            <w:pPr>
              <w:rPr>
                <w:sz w:val="24"/>
                <w:szCs w:val="24"/>
              </w:rPr>
            </w:pPr>
            <w:r>
              <w:rPr>
                <w:sz w:val="24"/>
                <w:szCs w:val="24"/>
              </w:rPr>
              <w:t>30 minutes</w:t>
            </w:r>
          </w:p>
        </w:tc>
        <w:tc>
          <w:tcPr>
            <w:tcW w:w="1994" w:type="dxa"/>
          </w:tcPr>
          <w:p w:rsidR="00D13974" w:rsidRDefault="00D13974" w:rsidP="00B945A2">
            <w:pPr>
              <w:rPr>
                <w:sz w:val="24"/>
                <w:szCs w:val="24"/>
              </w:rPr>
            </w:pPr>
            <w:r>
              <w:rPr>
                <w:sz w:val="24"/>
                <w:szCs w:val="24"/>
              </w:rPr>
              <w:t>6 monthly</w:t>
            </w:r>
          </w:p>
        </w:tc>
      </w:tr>
    </w:tbl>
    <w:p w:rsidR="006F0973" w:rsidRDefault="006F0973" w:rsidP="00B945A2">
      <w:pPr>
        <w:spacing w:line="240" w:lineRule="auto"/>
        <w:rPr>
          <w:sz w:val="24"/>
          <w:szCs w:val="24"/>
        </w:rPr>
      </w:pPr>
    </w:p>
    <w:p w:rsidR="008A0D62" w:rsidRDefault="005C4A8B" w:rsidP="00967A72">
      <w:pPr>
        <w:spacing w:after="0" w:line="240" w:lineRule="auto"/>
        <w:ind w:firstLine="720"/>
        <w:rPr>
          <w:sz w:val="24"/>
          <w:szCs w:val="24"/>
        </w:rPr>
      </w:pPr>
      <w:r w:rsidRPr="008A0D62">
        <w:rPr>
          <w:sz w:val="24"/>
          <w:szCs w:val="24"/>
        </w:rPr>
        <w:t>Preparation</w:t>
      </w:r>
      <w:r w:rsidR="00B945A2">
        <w:rPr>
          <w:sz w:val="24"/>
          <w:szCs w:val="24"/>
        </w:rPr>
        <w:t>:</w:t>
      </w:r>
    </w:p>
    <w:p w:rsidR="00967A72" w:rsidRDefault="005C4A8B" w:rsidP="00967A72">
      <w:pPr>
        <w:spacing w:after="0" w:line="240" w:lineRule="auto"/>
        <w:ind w:firstLine="720"/>
        <w:rPr>
          <w:sz w:val="24"/>
          <w:szCs w:val="24"/>
        </w:rPr>
      </w:pPr>
      <w:r w:rsidRPr="008A0D62">
        <w:rPr>
          <w:sz w:val="24"/>
          <w:szCs w:val="24"/>
        </w:rPr>
        <w:t xml:space="preserve">Zoledronic acid is available as a </w:t>
      </w:r>
      <w:r w:rsidR="00340627">
        <w:rPr>
          <w:sz w:val="24"/>
          <w:szCs w:val="24"/>
        </w:rPr>
        <w:t>concentrate of 4mg/5ml</w:t>
      </w:r>
      <w:r w:rsidRPr="008A0D62">
        <w:rPr>
          <w:sz w:val="24"/>
          <w:szCs w:val="24"/>
        </w:rPr>
        <w:t xml:space="preserve">. </w:t>
      </w:r>
    </w:p>
    <w:p w:rsidR="00B945A2" w:rsidRDefault="005C4A8B" w:rsidP="00967A72">
      <w:pPr>
        <w:spacing w:after="0" w:line="240" w:lineRule="auto"/>
        <w:ind w:left="720"/>
        <w:rPr>
          <w:sz w:val="24"/>
          <w:szCs w:val="24"/>
        </w:rPr>
      </w:pPr>
      <w:r w:rsidRPr="008A0D62">
        <w:rPr>
          <w:sz w:val="24"/>
          <w:szCs w:val="24"/>
        </w:rPr>
        <w:t xml:space="preserve">This MUST be diluted prior to administration. To do this, withdraw the required volume of zoledronic acid from the vial. Add the dose to the infusion bag. Mix well and then infuse over the required time. </w:t>
      </w:r>
    </w:p>
    <w:p w:rsidR="00B945A2" w:rsidRDefault="002D2C98" w:rsidP="00340627">
      <w:pPr>
        <w:spacing w:before="480" w:after="240" w:line="240" w:lineRule="auto"/>
        <w:ind w:left="720"/>
        <w:rPr>
          <w:sz w:val="24"/>
          <w:szCs w:val="24"/>
        </w:rPr>
      </w:pPr>
      <w:r>
        <w:rPr>
          <w:sz w:val="24"/>
          <w:szCs w:val="24"/>
        </w:rPr>
        <w:t>For doses less than 1</w:t>
      </w:r>
      <w:r w:rsidR="005C4A8B" w:rsidRPr="008A0D62">
        <w:rPr>
          <w:sz w:val="24"/>
          <w:szCs w:val="24"/>
        </w:rPr>
        <w:t>m</w:t>
      </w:r>
      <w:r w:rsidR="00340627">
        <w:rPr>
          <w:sz w:val="24"/>
          <w:szCs w:val="24"/>
        </w:rPr>
        <w:t>g</w:t>
      </w:r>
      <w:r w:rsidR="00605464">
        <w:rPr>
          <w:sz w:val="24"/>
          <w:szCs w:val="24"/>
        </w:rPr>
        <w:t>,</w:t>
      </w:r>
      <w:r w:rsidR="005C4A8B" w:rsidRPr="008A0D62">
        <w:rPr>
          <w:sz w:val="24"/>
          <w:szCs w:val="24"/>
        </w:rPr>
        <w:t xml:space="preserve"> please prescribe in micrograms. For dose</w:t>
      </w:r>
      <w:r w:rsidR="004F6026">
        <w:rPr>
          <w:sz w:val="24"/>
          <w:szCs w:val="24"/>
        </w:rPr>
        <w:t>s</w:t>
      </w:r>
      <w:r w:rsidR="00CB7BC5">
        <w:rPr>
          <w:sz w:val="24"/>
          <w:szCs w:val="24"/>
        </w:rPr>
        <w:t xml:space="preserve"> of </w:t>
      </w:r>
      <w:r>
        <w:rPr>
          <w:sz w:val="24"/>
          <w:szCs w:val="24"/>
        </w:rPr>
        <w:t>1</w:t>
      </w:r>
      <w:r w:rsidR="00605464" w:rsidRPr="008A0D62">
        <w:rPr>
          <w:sz w:val="24"/>
          <w:szCs w:val="24"/>
        </w:rPr>
        <w:t>m</w:t>
      </w:r>
      <w:r w:rsidR="00340627">
        <w:rPr>
          <w:sz w:val="24"/>
          <w:szCs w:val="24"/>
        </w:rPr>
        <w:t>g</w:t>
      </w:r>
      <w:r w:rsidR="00CB7BC5">
        <w:rPr>
          <w:sz w:val="24"/>
          <w:szCs w:val="24"/>
        </w:rPr>
        <w:t xml:space="preserve"> or over</w:t>
      </w:r>
      <w:r w:rsidR="00605464">
        <w:rPr>
          <w:sz w:val="24"/>
          <w:szCs w:val="24"/>
        </w:rPr>
        <w:t>,</w:t>
      </w:r>
      <w:r w:rsidR="005C4A8B" w:rsidRPr="008A0D62">
        <w:rPr>
          <w:sz w:val="24"/>
          <w:szCs w:val="24"/>
        </w:rPr>
        <w:t xml:space="preserve"> please prescribe in m</w:t>
      </w:r>
      <w:r w:rsidR="004F6026">
        <w:rPr>
          <w:sz w:val="24"/>
          <w:szCs w:val="24"/>
        </w:rPr>
        <w:t>illi</w:t>
      </w:r>
      <w:r w:rsidR="005C4A8B" w:rsidRPr="008A0D62">
        <w:rPr>
          <w:sz w:val="24"/>
          <w:szCs w:val="24"/>
        </w:rPr>
        <w:t>g</w:t>
      </w:r>
      <w:r w:rsidR="004F6026">
        <w:rPr>
          <w:sz w:val="24"/>
          <w:szCs w:val="24"/>
        </w:rPr>
        <w:t>rams.</w:t>
      </w:r>
      <w:r w:rsidR="005C4A8B" w:rsidRPr="008A0D62">
        <w:rPr>
          <w:sz w:val="24"/>
          <w:szCs w:val="24"/>
        </w:rPr>
        <w:t xml:space="preserve"> </w:t>
      </w:r>
    </w:p>
    <w:p w:rsidR="00CC08D1" w:rsidRDefault="005C4A8B" w:rsidP="00967A72">
      <w:pPr>
        <w:spacing w:before="480" w:after="240" w:line="240" w:lineRule="auto"/>
        <w:ind w:left="720"/>
        <w:rPr>
          <w:i/>
          <w:sz w:val="24"/>
          <w:szCs w:val="24"/>
        </w:rPr>
      </w:pPr>
      <w:r w:rsidRPr="00CC08D1">
        <w:rPr>
          <w:i/>
          <w:sz w:val="24"/>
          <w:szCs w:val="24"/>
        </w:rPr>
        <w:t>Example</w:t>
      </w:r>
      <w:r w:rsidR="00CC08D1">
        <w:rPr>
          <w:i/>
          <w:sz w:val="24"/>
          <w:szCs w:val="24"/>
        </w:rPr>
        <w:t xml:space="preserve"> </w:t>
      </w:r>
      <w:r w:rsidR="00605464">
        <w:rPr>
          <w:i/>
          <w:sz w:val="24"/>
          <w:szCs w:val="24"/>
        </w:rPr>
        <w:t>1:</w:t>
      </w:r>
      <w:r w:rsidR="00CC08D1">
        <w:rPr>
          <w:i/>
          <w:sz w:val="24"/>
          <w:szCs w:val="24"/>
        </w:rPr>
        <w:t xml:space="preserve"> F</w:t>
      </w:r>
      <w:r w:rsidRPr="00CC08D1">
        <w:rPr>
          <w:i/>
          <w:sz w:val="24"/>
          <w:szCs w:val="24"/>
        </w:rPr>
        <w:t>or a 6 year old patient weighing 11.8kg</w:t>
      </w:r>
      <w:r w:rsidR="001850FA">
        <w:rPr>
          <w:i/>
          <w:sz w:val="24"/>
          <w:szCs w:val="24"/>
        </w:rPr>
        <w:t>,</w:t>
      </w:r>
      <w:r w:rsidRPr="00CC08D1">
        <w:rPr>
          <w:i/>
          <w:sz w:val="24"/>
          <w:szCs w:val="24"/>
        </w:rPr>
        <w:t xml:space="preserve"> the dose would be 50 </w:t>
      </w:r>
      <w:r w:rsidR="00CC08D1">
        <w:rPr>
          <w:i/>
          <w:sz w:val="24"/>
          <w:szCs w:val="24"/>
        </w:rPr>
        <w:t>micrograms/kg</w:t>
      </w:r>
      <w:r w:rsidR="001850FA">
        <w:rPr>
          <w:i/>
          <w:sz w:val="24"/>
          <w:szCs w:val="24"/>
        </w:rPr>
        <w:t xml:space="preserve"> </w:t>
      </w:r>
      <w:r w:rsidR="00CC08D1">
        <w:rPr>
          <w:i/>
          <w:sz w:val="24"/>
          <w:szCs w:val="24"/>
        </w:rPr>
        <w:t>= 590 micrograms</w:t>
      </w:r>
      <w:r w:rsidR="001850FA">
        <w:rPr>
          <w:i/>
          <w:sz w:val="24"/>
          <w:szCs w:val="24"/>
        </w:rPr>
        <w:t>,</w:t>
      </w:r>
      <w:r w:rsidR="00CC08D1">
        <w:rPr>
          <w:i/>
          <w:sz w:val="24"/>
          <w:szCs w:val="24"/>
        </w:rPr>
        <w:t xml:space="preserve"> rounded to</w:t>
      </w:r>
      <w:r w:rsidR="006405E9">
        <w:rPr>
          <w:i/>
          <w:sz w:val="24"/>
          <w:szCs w:val="24"/>
        </w:rPr>
        <w:t xml:space="preserve"> 600 micrograms </w:t>
      </w:r>
      <w:r w:rsidRPr="00CC08D1">
        <w:rPr>
          <w:i/>
          <w:sz w:val="24"/>
          <w:szCs w:val="24"/>
        </w:rPr>
        <w:t xml:space="preserve">zoledronic acid. </w:t>
      </w:r>
      <w:r w:rsidR="00D718A5">
        <w:rPr>
          <w:i/>
          <w:sz w:val="24"/>
          <w:szCs w:val="24"/>
        </w:rPr>
        <w:t xml:space="preserve">4mg/5ml concentrate = 4000 micrograms in 5 </w:t>
      </w:r>
      <w:r w:rsidR="00605464">
        <w:rPr>
          <w:i/>
          <w:sz w:val="24"/>
          <w:szCs w:val="24"/>
        </w:rPr>
        <w:t>millilitres</w:t>
      </w:r>
      <w:r w:rsidR="00D718A5">
        <w:rPr>
          <w:i/>
          <w:sz w:val="24"/>
          <w:szCs w:val="24"/>
        </w:rPr>
        <w:t xml:space="preserve"> = 800 micrograms in 1 </w:t>
      </w:r>
      <w:r w:rsidR="00340627">
        <w:rPr>
          <w:i/>
          <w:sz w:val="24"/>
          <w:szCs w:val="24"/>
        </w:rPr>
        <w:t>ml</w:t>
      </w:r>
      <w:r w:rsidR="00D718A5">
        <w:rPr>
          <w:i/>
          <w:sz w:val="24"/>
          <w:szCs w:val="24"/>
        </w:rPr>
        <w:t xml:space="preserve"> solution. Therefore </w:t>
      </w:r>
      <w:r w:rsidRPr="00CC08D1">
        <w:rPr>
          <w:i/>
          <w:sz w:val="24"/>
          <w:szCs w:val="24"/>
        </w:rPr>
        <w:t>0.75ml (</w:t>
      </w:r>
      <w:r w:rsidR="00D718A5">
        <w:rPr>
          <w:i/>
          <w:sz w:val="24"/>
          <w:szCs w:val="24"/>
        </w:rPr>
        <w:t xml:space="preserve">= </w:t>
      </w:r>
      <w:r w:rsidRPr="00CC08D1">
        <w:rPr>
          <w:i/>
          <w:sz w:val="24"/>
          <w:szCs w:val="24"/>
        </w:rPr>
        <w:t>600</w:t>
      </w:r>
      <w:r w:rsidR="00D718A5">
        <w:rPr>
          <w:i/>
          <w:sz w:val="24"/>
          <w:szCs w:val="24"/>
        </w:rPr>
        <w:t xml:space="preserve"> </w:t>
      </w:r>
      <w:r w:rsidR="00D718A5">
        <w:rPr>
          <w:rFonts w:cs="Calibri"/>
          <w:i/>
          <w:sz w:val="24"/>
          <w:szCs w:val="24"/>
        </w:rPr>
        <w:t>÷</w:t>
      </w:r>
      <w:r w:rsidR="00D718A5">
        <w:rPr>
          <w:i/>
          <w:sz w:val="24"/>
          <w:szCs w:val="24"/>
        </w:rPr>
        <w:t xml:space="preserve"> 800</w:t>
      </w:r>
      <w:r w:rsidR="001850FA">
        <w:rPr>
          <w:i/>
          <w:sz w:val="24"/>
          <w:szCs w:val="24"/>
        </w:rPr>
        <w:t xml:space="preserve"> </w:t>
      </w:r>
      <w:r w:rsidRPr="00CC08D1">
        <w:rPr>
          <w:i/>
          <w:sz w:val="24"/>
          <w:szCs w:val="24"/>
        </w:rPr>
        <w:t>micrograms) of zoledronic acid 4mg/5ml concentrate should be withdrawn from the vial and added to a 100</w:t>
      </w:r>
      <w:r w:rsidR="00D718A5">
        <w:rPr>
          <w:i/>
          <w:sz w:val="24"/>
          <w:szCs w:val="24"/>
        </w:rPr>
        <w:t xml:space="preserve"> </w:t>
      </w:r>
      <w:r w:rsidR="00605464" w:rsidRPr="00CC08D1">
        <w:rPr>
          <w:i/>
          <w:sz w:val="24"/>
          <w:szCs w:val="24"/>
        </w:rPr>
        <w:t>m</w:t>
      </w:r>
      <w:r w:rsidR="00340627">
        <w:rPr>
          <w:i/>
          <w:sz w:val="24"/>
          <w:szCs w:val="24"/>
        </w:rPr>
        <w:t>l</w:t>
      </w:r>
      <w:r w:rsidRPr="00CC08D1">
        <w:rPr>
          <w:i/>
          <w:sz w:val="24"/>
          <w:szCs w:val="24"/>
        </w:rPr>
        <w:t xml:space="preserve"> infusion bag of sodium chloride 0.9%. This should be then infused over 30</w:t>
      </w:r>
      <w:r w:rsidR="001850FA">
        <w:rPr>
          <w:i/>
          <w:sz w:val="24"/>
          <w:szCs w:val="24"/>
        </w:rPr>
        <w:t xml:space="preserve"> </w:t>
      </w:r>
      <w:r w:rsidRPr="00CC08D1">
        <w:rPr>
          <w:i/>
          <w:sz w:val="24"/>
          <w:szCs w:val="24"/>
        </w:rPr>
        <w:t xml:space="preserve">minutes. </w:t>
      </w:r>
    </w:p>
    <w:p w:rsidR="0054386D" w:rsidRPr="00D718A5" w:rsidRDefault="005C4A8B" w:rsidP="00D718A5">
      <w:pPr>
        <w:spacing w:before="480" w:after="240" w:line="240" w:lineRule="auto"/>
        <w:ind w:left="720"/>
        <w:rPr>
          <w:i/>
          <w:sz w:val="24"/>
          <w:szCs w:val="24"/>
        </w:rPr>
      </w:pPr>
      <w:r w:rsidRPr="00CC08D1">
        <w:rPr>
          <w:i/>
          <w:sz w:val="24"/>
          <w:szCs w:val="24"/>
        </w:rPr>
        <w:t xml:space="preserve">Example 2: For </w:t>
      </w:r>
      <w:r w:rsidR="00F66926">
        <w:rPr>
          <w:i/>
          <w:sz w:val="24"/>
          <w:szCs w:val="24"/>
        </w:rPr>
        <w:t xml:space="preserve">a </w:t>
      </w:r>
      <w:r w:rsidRPr="00CC08D1">
        <w:rPr>
          <w:i/>
          <w:sz w:val="24"/>
          <w:szCs w:val="24"/>
        </w:rPr>
        <w:t>12 year old patient weighing 43 kg</w:t>
      </w:r>
      <w:r w:rsidR="001850FA">
        <w:rPr>
          <w:i/>
          <w:sz w:val="24"/>
          <w:szCs w:val="24"/>
        </w:rPr>
        <w:t>,</w:t>
      </w:r>
      <w:r w:rsidRPr="00CC08D1">
        <w:rPr>
          <w:i/>
          <w:sz w:val="24"/>
          <w:szCs w:val="24"/>
        </w:rPr>
        <w:t xml:space="preserve"> the dose would be 50 micrograms/kg = 2,150 microgram</w:t>
      </w:r>
      <w:r w:rsidR="001850FA">
        <w:rPr>
          <w:i/>
          <w:sz w:val="24"/>
          <w:szCs w:val="24"/>
        </w:rPr>
        <w:t>s</w:t>
      </w:r>
      <w:r w:rsidRPr="00CC08D1">
        <w:rPr>
          <w:i/>
          <w:sz w:val="24"/>
          <w:szCs w:val="24"/>
        </w:rPr>
        <w:t xml:space="preserve"> = 2.15</w:t>
      </w:r>
      <w:r w:rsidR="00D718A5">
        <w:rPr>
          <w:i/>
          <w:sz w:val="24"/>
          <w:szCs w:val="24"/>
        </w:rPr>
        <w:t xml:space="preserve"> </w:t>
      </w:r>
      <w:r w:rsidR="00605464" w:rsidRPr="00CC08D1">
        <w:rPr>
          <w:i/>
          <w:sz w:val="24"/>
          <w:szCs w:val="24"/>
        </w:rPr>
        <w:t>m</w:t>
      </w:r>
      <w:r w:rsidR="00DD4230">
        <w:rPr>
          <w:i/>
          <w:sz w:val="24"/>
          <w:szCs w:val="24"/>
        </w:rPr>
        <w:t>g</w:t>
      </w:r>
      <w:r w:rsidRPr="00CC08D1">
        <w:rPr>
          <w:i/>
          <w:sz w:val="24"/>
          <w:szCs w:val="24"/>
        </w:rPr>
        <w:t xml:space="preserve"> zoledronic acid</w:t>
      </w:r>
      <w:r w:rsidR="00D718A5">
        <w:rPr>
          <w:i/>
          <w:sz w:val="24"/>
          <w:szCs w:val="24"/>
        </w:rPr>
        <w:t>.</w:t>
      </w:r>
      <w:r w:rsidRPr="00CC08D1">
        <w:rPr>
          <w:i/>
          <w:sz w:val="24"/>
          <w:szCs w:val="24"/>
        </w:rPr>
        <w:t xml:space="preserve"> </w:t>
      </w:r>
      <w:r w:rsidR="00DD4230">
        <w:rPr>
          <w:i/>
          <w:sz w:val="24"/>
          <w:szCs w:val="24"/>
        </w:rPr>
        <w:t>4mg/5ml concentrate = 0.8 mg</w:t>
      </w:r>
      <w:r w:rsidR="00F66926">
        <w:rPr>
          <w:i/>
          <w:sz w:val="24"/>
          <w:szCs w:val="24"/>
        </w:rPr>
        <w:t xml:space="preserve"> in 1</w:t>
      </w:r>
      <w:r w:rsidR="00D718A5">
        <w:rPr>
          <w:i/>
          <w:sz w:val="24"/>
          <w:szCs w:val="24"/>
        </w:rPr>
        <w:t xml:space="preserve"> </w:t>
      </w:r>
      <w:r w:rsidR="00605464">
        <w:rPr>
          <w:i/>
          <w:sz w:val="24"/>
          <w:szCs w:val="24"/>
        </w:rPr>
        <w:t>m</w:t>
      </w:r>
      <w:r w:rsidR="00DD4230">
        <w:rPr>
          <w:i/>
          <w:sz w:val="24"/>
          <w:szCs w:val="24"/>
        </w:rPr>
        <w:t>l</w:t>
      </w:r>
      <w:r w:rsidR="00D718A5">
        <w:rPr>
          <w:i/>
          <w:sz w:val="24"/>
          <w:szCs w:val="24"/>
        </w:rPr>
        <w:t xml:space="preserve"> solution. Therefore 2.7 mls (= 2.15 </w:t>
      </w:r>
      <w:r w:rsidR="00D718A5">
        <w:rPr>
          <w:rFonts w:cs="Calibri"/>
          <w:i/>
          <w:sz w:val="24"/>
          <w:szCs w:val="24"/>
        </w:rPr>
        <w:t>÷</w:t>
      </w:r>
      <w:r w:rsidR="00D718A5">
        <w:rPr>
          <w:i/>
          <w:sz w:val="24"/>
          <w:szCs w:val="24"/>
        </w:rPr>
        <w:t xml:space="preserve"> 0.8 </w:t>
      </w:r>
      <w:r w:rsidR="00605464">
        <w:rPr>
          <w:i/>
          <w:sz w:val="24"/>
          <w:szCs w:val="24"/>
        </w:rPr>
        <w:t>milligrams</w:t>
      </w:r>
      <w:r w:rsidRPr="00CC08D1">
        <w:rPr>
          <w:i/>
          <w:sz w:val="24"/>
          <w:szCs w:val="24"/>
        </w:rPr>
        <w:t>) of zoledronic acid 4mg/5ml concentrate should be withdrawn from the vial and added to a 10</w:t>
      </w:r>
      <w:r w:rsidR="00F66926">
        <w:rPr>
          <w:i/>
          <w:sz w:val="24"/>
          <w:szCs w:val="24"/>
        </w:rPr>
        <w:t xml:space="preserve">0 </w:t>
      </w:r>
      <w:r w:rsidR="00605464" w:rsidRPr="00CC08D1">
        <w:rPr>
          <w:i/>
          <w:sz w:val="24"/>
          <w:szCs w:val="24"/>
        </w:rPr>
        <w:t>m</w:t>
      </w:r>
      <w:r w:rsidR="00DD4230">
        <w:rPr>
          <w:i/>
          <w:sz w:val="24"/>
          <w:szCs w:val="24"/>
        </w:rPr>
        <w:t>l</w:t>
      </w:r>
      <w:r w:rsidRPr="00CC08D1">
        <w:rPr>
          <w:i/>
          <w:sz w:val="24"/>
          <w:szCs w:val="24"/>
        </w:rPr>
        <w:t xml:space="preserve"> infusion bag of sodium chloride 0.9%. This should be then infused over 30</w:t>
      </w:r>
      <w:r w:rsidR="001850FA">
        <w:rPr>
          <w:i/>
          <w:sz w:val="24"/>
          <w:szCs w:val="24"/>
        </w:rPr>
        <w:t xml:space="preserve"> </w:t>
      </w:r>
      <w:r w:rsidRPr="00CC08D1">
        <w:rPr>
          <w:i/>
          <w:sz w:val="24"/>
          <w:szCs w:val="24"/>
        </w:rPr>
        <w:t>minutes.</w:t>
      </w:r>
    </w:p>
    <w:p w:rsidR="002E2A69" w:rsidRPr="00874D25" w:rsidRDefault="006E60BD"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Associated </w:t>
      </w:r>
      <w:r w:rsidR="00212041" w:rsidRPr="00874D25">
        <w:rPr>
          <w:color w:val="092869"/>
          <w:sz w:val="32"/>
          <w:szCs w:val="32"/>
        </w:rPr>
        <w:t>materials</w:t>
      </w:r>
    </w:p>
    <w:p w:rsidR="009B3755" w:rsidRPr="009B3755" w:rsidRDefault="00E52BA4" w:rsidP="009B3755">
      <w:pPr>
        <w:pStyle w:val="Policy-MainBody"/>
      </w:pPr>
      <w:r>
        <w:t>N/A.</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Evidence base</w:t>
      </w:r>
    </w:p>
    <w:p w:rsidR="009B3755" w:rsidRDefault="00CB27CB" w:rsidP="009B3755">
      <w:pPr>
        <w:pStyle w:val="Policy-MainBody"/>
      </w:pPr>
      <w:r>
        <w:t xml:space="preserve">Munns CF et al. Acute phase response and mineral status following low dose intravenous zoledronic acid in children. </w:t>
      </w:r>
      <w:r w:rsidRPr="0022604F">
        <w:rPr>
          <w:i/>
        </w:rPr>
        <w:t>Bone</w:t>
      </w:r>
      <w:r>
        <w:t xml:space="preserve"> 2007; 41(3):366-70.</w:t>
      </w:r>
    </w:p>
    <w:p w:rsidR="00CB27CB" w:rsidRDefault="00CB27CB" w:rsidP="009B3755">
      <w:pPr>
        <w:pStyle w:val="Policy-MainBody"/>
      </w:pPr>
      <w:r>
        <w:t xml:space="preserve">Shaw NJ, Bishop NJ. </w:t>
      </w:r>
      <w:r w:rsidR="008C2AB5">
        <w:t>Bisphosphonate</w:t>
      </w:r>
      <w:r>
        <w:t xml:space="preserve"> treatment of bone disease. </w:t>
      </w:r>
      <w:r w:rsidRPr="0022604F">
        <w:rPr>
          <w:i/>
        </w:rPr>
        <w:t>Arch Dis Child</w:t>
      </w:r>
      <w:r>
        <w:t xml:space="preserve"> 2005; 90:494-99.</w:t>
      </w:r>
    </w:p>
    <w:p w:rsidR="00CB27CB" w:rsidRDefault="00CB27CB" w:rsidP="009B3755">
      <w:pPr>
        <w:pStyle w:val="Policy-MainBody"/>
      </w:pPr>
      <w:r>
        <w:t>H</w:t>
      </w:r>
      <w:r>
        <w:rPr>
          <w:rFonts w:cs="Calibri"/>
        </w:rPr>
        <w:t>ö</w:t>
      </w:r>
      <w:r>
        <w:t>gler W et al. Short-term safety assessment in the use of zoledronic acid in children</w:t>
      </w:r>
      <w:r w:rsidRPr="0022604F">
        <w:rPr>
          <w:i/>
        </w:rPr>
        <w:t xml:space="preserve">. J Paediatr </w:t>
      </w:r>
      <w:r>
        <w:t>2004; 145:701-4.</w:t>
      </w:r>
    </w:p>
    <w:p w:rsidR="00CB27CB" w:rsidRDefault="00CB27CB" w:rsidP="009B3755">
      <w:pPr>
        <w:pStyle w:val="Policy-MainBody"/>
      </w:pPr>
      <w:r>
        <w:t xml:space="preserve">Glorieux F et el. Intravenous zoledronic acid compared to pamidronate in children with severe osteogenesis imperfecta. </w:t>
      </w:r>
      <w:r w:rsidRPr="0022604F">
        <w:rPr>
          <w:i/>
        </w:rPr>
        <w:t>Abstract, 35</w:t>
      </w:r>
      <w:r w:rsidRPr="0022604F">
        <w:rPr>
          <w:i/>
          <w:vertAlign w:val="superscript"/>
        </w:rPr>
        <w:t>th</w:t>
      </w:r>
      <w:r w:rsidRPr="0022604F">
        <w:rPr>
          <w:i/>
        </w:rPr>
        <w:t xml:space="preserve"> European Symposium on Calcified Tissues, Barcelona</w:t>
      </w:r>
      <w:r>
        <w:t xml:space="preserve"> 2008.</w:t>
      </w:r>
    </w:p>
    <w:p w:rsidR="00CB27CB" w:rsidRPr="009B3755" w:rsidRDefault="00CB27CB" w:rsidP="009B3755">
      <w:pPr>
        <w:pStyle w:val="Policy-MainBody"/>
      </w:pPr>
      <w:r>
        <w:t xml:space="preserve">Vuorimies I et al. Zoledronic acid treatment in children with osteogenesis imperfecta. </w:t>
      </w:r>
      <w:r w:rsidRPr="0022604F">
        <w:rPr>
          <w:i/>
        </w:rPr>
        <w:t>Horm Res Paediatr</w:t>
      </w:r>
      <w:r>
        <w:t xml:space="preserve"> 2011; 75:346-53.</w:t>
      </w:r>
    </w:p>
    <w:p w:rsidR="00BD4681" w:rsidRPr="00874D25" w:rsidRDefault="00BD4681" w:rsidP="00BD4681">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Stakeholder </w:t>
      </w:r>
      <w:r w:rsidR="00874D25" w:rsidRPr="00874D25">
        <w:rPr>
          <w:color w:val="092869"/>
          <w:sz w:val="32"/>
          <w:szCs w:val="32"/>
        </w:rPr>
        <w:t>consultation</w:t>
      </w:r>
    </w:p>
    <w:p w:rsidR="00E52BA4" w:rsidRPr="009B3755" w:rsidRDefault="00E52BA4" w:rsidP="00E52BA4">
      <w:pPr>
        <w:pStyle w:val="Policy-MainBody"/>
      </w:pPr>
      <w:r>
        <w:t>N/A.</w:t>
      </w:r>
    </w:p>
    <w:p w:rsidR="002E2A69" w:rsidRPr="00874D25" w:rsidRDefault="00BD4681"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Monitoring and review</w:t>
      </w:r>
    </w:p>
    <w:p w:rsidR="002E2A69" w:rsidRPr="002E2A69" w:rsidRDefault="00E52BA4" w:rsidP="00212041">
      <w:pPr>
        <w:pStyle w:val="Policy-MainBody"/>
      </w:pPr>
      <w:r>
        <w:t>This guideline will be updated if any significant new evidence</w:t>
      </w:r>
      <w:r w:rsidR="00AD69C2">
        <w:t xml:space="preserve"> or national guidance is publish</w:t>
      </w:r>
      <w:r>
        <w:t>ed. Othe</w:t>
      </w:r>
      <w:r w:rsidR="00AD69C2">
        <w:t>rwise, it will be due for review</w:t>
      </w:r>
      <w:r>
        <w:t xml:space="preserve"> in March 2024.</w:t>
      </w:r>
    </w:p>
    <w:sectPr w:rsidR="002E2A69" w:rsidRPr="002E2A69" w:rsidSect="0039504A">
      <w:headerReference w:type="default" r:id="rId13"/>
      <w:footerReference w:type="default" r:id="rId14"/>
      <w:pgSz w:w="11906" w:h="16838" w:code="9"/>
      <w:pgMar w:top="1440" w:right="1077" w:bottom="284" w:left="1077" w:header="567" w:footer="1134"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5511" w16cex:dateUtc="2021-02-17T08:40:00Z"/>
  <w16cex:commentExtensible w16cex:durableId="23D75562" w16cex:dateUtc="2021-02-17T08:42:00Z"/>
  <w16cex:commentExtensible w16cex:durableId="23D755FB" w16cex:dateUtc="2021-02-17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C0CD6" w16cid:durableId="23D75511"/>
  <w16cid:commentId w16cid:paraId="14B1C6A3" w16cid:durableId="23D754DA"/>
  <w16cid:commentId w16cid:paraId="69A604F7" w16cid:durableId="23D75562"/>
  <w16cid:commentId w16cid:paraId="29D11BBA" w16cid:durableId="23D755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CA" w:rsidRDefault="00D96CCA" w:rsidP="004F07C6">
      <w:pPr>
        <w:spacing w:after="0" w:line="240" w:lineRule="auto"/>
      </w:pPr>
      <w:r>
        <w:separator/>
      </w:r>
    </w:p>
  </w:endnote>
  <w:endnote w:type="continuationSeparator" w:id="0">
    <w:p w:rsidR="00D96CCA" w:rsidRPr="0026159E" w:rsidRDefault="00D96CCA"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CA" w:rsidRDefault="008D7C4D" w:rsidP="00EA48D0">
    <w:pPr>
      <w:jc w:val="right"/>
    </w:pPr>
    <w:sdt>
      <w:sdtPr>
        <w:id w:val="250395305"/>
        <w:docPartObj>
          <w:docPartGallery w:val="Page Numbers (Top of Page)"/>
          <w:docPartUnique/>
        </w:docPartObj>
      </w:sdtPr>
      <w:sdtEndPr/>
      <w:sdtContent>
        <w:r w:rsidR="00D96CCA">
          <w:t xml:space="preserve">Page </w:t>
        </w:r>
        <w:r>
          <w:rPr>
            <w:noProof/>
          </w:rPr>
          <w:fldChar w:fldCharType="begin"/>
        </w:r>
        <w:r>
          <w:rPr>
            <w:noProof/>
          </w:rPr>
          <w:instrText xml:space="preserve"> PAGE </w:instrText>
        </w:r>
        <w:r>
          <w:rPr>
            <w:noProof/>
          </w:rPr>
          <w:fldChar w:fldCharType="separate"/>
        </w:r>
        <w:r>
          <w:rPr>
            <w:noProof/>
          </w:rPr>
          <w:t>3</w:t>
        </w:r>
        <w:r>
          <w:rPr>
            <w:noProof/>
          </w:rPr>
          <w:fldChar w:fldCharType="end"/>
        </w:r>
        <w:r w:rsidR="00D96CCA">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sdtContent>
    </w:sdt>
    <w:r w:rsidR="00D609BB">
      <w:rPr>
        <w:noProof/>
        <w:lang w:eastAsia="en-GB"/>
      </w:rPr>
      <mc:AlternateContent>
        <mc:Choice Requires="wps">
          <w:drawing>
            <wp:anchor distT="0" distB="0" distL="114300" distR="114300" simplePos="0" relativeHeight="251669504" behindDoc="1" locked="0" layoutInCell="1" allowOverlap="1" wp14:anchorId="13F3A437">
              <wp:simplePos x="0" y="0"/>
              <wp:positionH relativeFrom="column">
                <wp:posOffset>-226695</wp:posOffset>
              </wp:positionH>
              <wp:positionV relativeFrom="paragraph">
                <wp:posOffset>180975</wp:posOffset>
              </wp:positionV>
              <wp:extent cx="6645910" cy="554355"/>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54355"/>
                      </a:xfrm>
                      <a:prstGeom prst="rect">
                        <a:avLst/>
                      </a:prstGeom>
                      <a:solidFill>
                        <a:srgbClr val="67BF29">
                          <a:alpha val="80000"/>
                        </a:srgbClr>
                      </a:solidFill>
                      <a:ln>
                        <a:noFill/>
                      </a:ln>
                    </wps:spPr>
                    <wps:txbx>
                      <w:txbxContent>
                        <w:p w:rsidR="00D96CCA" w:rsidRPr="00BE179C" w:rsidRDefault="00D96CCA" w:rsidP="00BF721F">
                          <w:pPr>
                            <w:jc w:val="center"/>
                            <w:rPr>
                              <w:color w:val="FFFFFF" w:themeColor="background1"/>
                            </w:rPr>
                          </w:pPr>
                          <w:r>
                            <w:rPr>
                              <w:b/>
                              <w:color w:val="FFFFFF" w:themeColor="background1"/>
                            </w:rPr>
                            <w:t xml:space="preserve">Protocol for the administration of zoledronic acid. March 2021; for review March 2024. </w:t>
                          </w: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3A437" id="_x0000_t202" coordsize="21600,21600" o:spt="202" path="m,l,21600r21600,l21600,xe">
              <v:stroke joinstyle="miter"/>
              <v:path gradientshapeok="t" o:connecttype="rect"/>
            </v:shapetype>
            <v:shape id="Text Box 9" o:spid="_x0000_s1027" type="#_x0000_t202" style="position:absolute;left:0;text-align:left;margin-left:-17.85pt;margin-top:14.25pt;width:523.3pt;height:4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" fillcolor="#67bf29" stroked="f">
              <v:fill opacity="52428f"/>
              <v:textbox inset="19.1mm,5.4mm">
                <w:txbxContent>
                  <w:p w:rsidR="00D96CCA" w:rsidRPr="00BE179C" w:rsidRDefault="00D96CCA" w:rsidP="00BF721F">
                    <w:pPr>
                      <w:jc w:val="center"/>
                      <w:rPr>
                        <w:color w:val="FFFFFF" w:themeColor="background1"/>
                      </w:rPr>
                    </w:pPr>
                    <w:r>
                      <w:rPr>
                        <w:b/>
                        <w:color w:val="FFFFFF" w:themeColor="background1"/>
                      </w:rPr>
                      <w:t xml:space="preserve">Protocol for the administration of zoledronic acid. March 2021; for review March 2024.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CA" w:rsidRDefault="008D7C4D" w:rsidP="0056228F">
    <w:pPr>
      <w:spacing w:after="0" w:line="240" w:lineRule="auto"/>
      <w:jc w:val="right"/>
    </w:pPr>
    <w:sdt>
      <w:sdtPr>
        <w:id w:val="537665613"/>
        <w:docPartObj>
          <w:docPartGallery w:val="Page Numbers (Top of Page)"/>
          <w:docPartUnique/>
        </w:docPartObj>
      </w:sdtPr>
      <w:sdtEndPr/>
      <w:sdtContent>
        <w:r w:rsidR="00D96CCA">
          <w:t xml:space="preserve">Page </w:t>
        </w:r>
        <w:r>
          <w:rPr>
            <w:noProof/>
          </w:rPr>
          <w:fldChar w:fldCharType="begin"/>
        </w:r>
        <w:r>
          <w:rPr>
            <w:noProof/>
          </w:rPr>
          <w:instrText xml:space="preserve"> PAGE </w:instrText>
        </w:r>
        <w:r>
          <w:rPr>
            <w:noProof/>
          </w:rPr>
          <w:fldChar w:fldCharType="separate"/>
        </w:r>
        <w:r>
          <w:rPr>
            <w:noProof/>
          </w:rPr>
          <w:t>8</w:t>
        </w:r>
        <w:r>
          <w:rPr>
            <w:noProof/>
          </w:rPr>
          <w:fldChar w:fldCharType="end"/>
        </w:r>
        <w:r w:rsidR="00D96CCA">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sdtContent>
    </w:sdt>
    <w:r w:rsidR="00D609BB">
      <w:rPr>
        <w:noProof/>
        <w:lang w:eastAsia="en-GB"/>
      </w:rPr>
      <mc:AlternateContent>
        <mc:Choice Requires="wps">
          <w:drawing>
            <wp:anchor distT="0" distB="0" distL="114300" distR="114300" simplePos="0" relativeHeight="251667456" behindDoc="1" locked="0" layoutInCell="1" allowOverlap="1" wp14:anchorId="7EA38F71">
              <wp:simplePos x="0" y="0"/>
              <wp:positionH relativeFrom="column">
                <wp:posOffset>-112395</wp:posOffset>
              </wp:positionH>
              <wp:positionV relativeFrom="paragraph">
                <wp:posOffset>302895</wp:posOffset>
              </wp:positionV>
              <wp:extent cx="6531610" cy="41910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19100"/>
                      </a:xfrm>
                      <a:prstGeom prst="rect">
                        <a:avLst/>
                      </a:prstGeom>
                      <a:solidFill>
                        <a:srgbClr val="67BF29">
                          <a:alpha val="80000"/>
                        </a:srgbClr>
                      </a:solidFill>
                      <a:ln>
                        <a:noFill/>
                      </a:ln>
                    </wps:spPr>
                    <wps:txbx>
                      <w:txbxContent>
                        <w:p w:rsidR="00D96CCA" w:rsidRPr="009912DB" w:rsidRDefault="00D96CCA" w:rsidP="00BF721F">
                          <w:pPr>
                            <w:jc w:val="center"/>
                            <w:rPr>
                              <w:b/>
                              <w:color w:val="FFFFFF" w:themeColor="background1"/>
                            </w:rPr>
                          </w:pPr>
                          <w:r>
                            <w:rPr>
                              <w:b/>
                              <w:color w:val="FFFFFF" w:themeColor="background1"/>
                            </w:rPr>
                            <w:t>Protocol for the administration of zoledronic acid. March 2021; for review March 2024.</w:t>
                          </w: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38F71" id="_x0000_t202" coordsize="21600,21600" o:spt="202" path="m,l,21600r21600,l21600,xe">
              <v:stroke joinstyle="miter"/>
              <v:path gradientshapeok="t" o:connecttype="rect"/>
            </v:shapetype>
            <v:shape id="Text Box 8" o:spid="_x0000_s1028" type="#_x0000_t202" style="position:absolute;left:0;text-align:left;margin-left:-8.85pt;margin-top:23.85pt;width:514.3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" fillcolor="#67bf29" stroked="f">
              <v:fill opacity="52428f"/>
              <v:textbox inset="19.1mm,5.4mm">
                <w:txbxContent>
                  <w:p w:rsidR="00D96CCA" w:rsidRPr="009912DB" w:rsidRDefault="00D96CCA" w:rsidP="00BF721F">
                    <w:pPr>
                      <w:jc w:val="center"/>
                      <w:rPr>
                        <w:b/>
                        <w:color w:val="FFFFFF" w:themeColor="background1"/>
                      </w:rPr>
                    </w:pPr>
                    <w:r>
                      <w:rPr>
                        <w:b/>
                        <w:color w:val="FFFFFF" w:themeColor="background1"/>
                      </w:rPr>
                      <w:t>Protocol for the administration of zoledronic acid. March 2021; for review March 2024.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CA" w:rsidRDefault="00D96CCA" w:rsidP="004F07C6">
      <w:pPr>
        <w:spacing w:after="0" w:line="240" w:lineRule="auto"/>
      </w:pPr>
      <w:r>
        <w:separator/>
      </w:r>
    </w:p>
  </w:footnote>
  <w:footnote w:type="continuationSeparator" w:id="0">
    <w:p w:rsidR="00D96CCA" w:rsidRDefault="00D96CCA" w:rsidP="004F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CA" w:rsidRDefault="00D96CCA">
    <w:pPr>
      <w:pStyle w:val="Header"/>
    </w:pPr>
    <w:r>
      <w:rPr>
        <w:noProof/>
        <w:lang w:eastAsia="en-GB"/>
      </w:rPr>
      <w:drawing>
        <wp:anchor distT="0" distB="0" distL="114300" distR="114300" simplePos="0" relativeHeight="251673600" behindDoc="0" locked="0" layoutInCell="1" allowOverlap="1">
          <wp:simplePos x="0" y="0"/>
          <wp:positionH relativeFrom="margin">
            <wp:posOffset>5135880</wp:posOffset>
          </wp:positionH>
          <wp:positionV relativeFrom="paragraph">
            <wp:posOffset>-361950</wp:posOffset>
          </wp:positionV>
          <wp:extent cx="1057275" cy="723900"/>
          <wp:effectExtent l="19050" t="0" r="9525" b="0"/>
          <wp:wrapNone/>
          <wp:docPr id="17" name="Picture 1"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D609BB">
      <w:rPr>
        <w:noProof/>
        <w:lang w:eastAsia="en-GB"/>
      </w:rPr>
      <mc:AlternateContent>
        <mc:Choice Requires="wps">
          <w:drawing>
            <wp:anchor distT="0" distB="0" distL="114300" distR="114300" simplePos="0" relativeHeight="251671552" behindDoc="0" locked="0" layoutInCell="1" allowOverlap="1" wp14:anchorId="315912A6">
              <wp:simplePos x="0" y="0"/>
              <wp:positionH relativeFrom="column">
                <wp:posOffset>-188595</wp:posOffset>
              </wp:positionH>
              <wp:positionV relativeFrom="paragraph">
                <wp:posOffset>-628650</wp:posOffset>
              </wp:positionV>
              <wp:extent cx="6645910" cy="127190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71905"/>
                      </a:xfrm>
                      <a:prstGeom prst="rect">
                        <a:avLst/>
                      </a:prstGeom>
                      <a:solidFill>
                        <a:srgbClr val="67BF29">
                          <a:alpha val="80000"/>
                        </a:srgbClr>
                      </a:solidFill>
                      <a:ln>
                        <a:noFill/>
                      </a:ln>
                    </wps:spPr>
                    <wps:txbx>
                      <w:txbxContent>
                        <w:p w:rsidR="00D96CCA" w:rsidRDefault="00D96CCA"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 xml:space="preserve">Guideline for the administration of </w:t>
                          </w:r>
                        </w:p>
                        <w:p w:rsidR="00D96CCA" w:rsidRPr="00065940" w:rsidRDefault="00D96CCA"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zoledronic acid</w:t>
                          </w:r>
                        </w:p>
                      </w:txbxContent>
                    </wps:txbx>
                    <wps:bodyPr rot="0" vert="horz" wrap="square" lIns="360000" tIns="36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912A6" id="_x0000_t202" coordsize="21600,21600" o:spt="202" path="m,l,21600r21600,l21600,xe">
              <v:stroke joinstyle="miter"/>
              <v:path gradientshapeok="t" o:connecttype="rect"/>
            </v:shapetype>
            <v:shape id="Text Box 3" o:spid="_x0000_s1026" type="#_x0000_t202" style="position:absolute;margin-left:-14.85pt;margin-top:-49.5pt;width:523.3pt;height:10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" fillcolor="#67bf29" stroked="f">
              <v:fill opacity="52428f"/>
              <v:textbox inset="10mm,10mm">
                <w:txbxContent>
                  <w:p w:rsidR="00D96CCA" w:rsidRDefault="00D96CCA"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 xml:space="preserve">Guideline for the administration of </w:t>
                    </w:r>
                  </w:p>
                  <w:p w:rsidR="00D96CCA" w:rsidRPr="00065940" w:rsidRDefault="00D96CCA" w:rsidP="00574C28">
                    <w:pPr>
                      <w:spacing w:after="0" w:line="240" w:lineRule="auto"/>
                      <w:rPr>
                        <w:rFonts w:asciiTheme="minorHAnsi" w:hAnsiTheme="minorHAnsi" w:cs="Arial"/>
                        <w:color w:val="FFFFFF" w:themeColor="background1"/>
                        <w:sz w:val="44"/>
                        <w:szCs w:val="44"/>
                      </w:rPr>
                    </w:pPr>
                    <w:r>
                      <w:rPr>
                        <w:rFonts w:asciiTheme="minorHAnsi" w:hAnsiTheme="minorHAnsi" w:cs="Arial"/>
                        <w:color w:val="FFFFFF" w:themeColor="background1"/>
                        <w:sz w:val="44"/>
                        <w:szCs w:val="44"/>
                      </w:rPr>
                      <w:t>zoledronic acid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CA" w:rsidRPr="00A55091" w:rsidRDefault="00D96CCA" w:rsidP="0056228F">
    <w:pPr>
      <w:spacing w:after="0"/>
      <w:jc w:val="right"/>
      <w:rPr>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502"/>
    <w:multiLevelType w:val="hybridMultilevel"/>
    <w:tmpl w:val="DC3ED1FE"/>
    <w:lvl w:ilvl="0" w:tplc="39EECB7C">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335D8"/>
    <w:multiLevelType w:val="hybridMultilevel"/>
    <w:tmpl w:val="00B43014"/>
    <w:lvl w:ilvl="0" w:tplc="E8CEACC8">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01709"/>
    <w:multiLevelType w:val="hybridMultilevel"/>
    <w:tmpl w:val="26C487D0"/>
    <w:lvl w:ilvl="0" w:tplc="4FC47072">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AE10D58"/>
    <w:multiLevelType w:val="hybridMultilevel"/>
    <w:tmpl w:val="3BB4F80C"/>
    <w:lvl w:ilvl="0" w:tplc="B88439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14246"/>
    <w:multiLevelType w:val="hybridMultilevel"/>
    <w:tmpl w:val="BA6086FA"/>
    <w:lvl w:ilvl="0" w:tplc="700637B0">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3717FF"/>
    <w:multiLevelType w:val="hybridMultilevel"/>
    <w:tmpl w:val="C3228F14"/>
    <w:lvl w:ilvl="0" w:tplc="33A4706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580613"/>
    <w:multiLevelType w:val="hybridMultilevel"/>
    <w:tmpl w:val="F82E844E"/>
    <w:lvl w:ilvl="0" w:tplc="CB868028">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21C84"/>
    <w:multiLevelType w:val="hybridMultilevel"/>
    <w:tmpl w:val="8ECA6A9C"/>
    <w:lvl w:ilvl="0" w:tplc="6D7CB544">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1"/>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6151" style="mso-position-horizontal:center;mso-width-relative:margin;mso-height-relative:margin" fillcolor="none [3215]" stroke="f">
      <v:fill color="none [3215]"/>
      <v:stroke on="f"/>
      <v:textbox inset="19.1mm,5.4mm"/>
      <o:colormru v:ext="edit" colors="#e28c05"/>
      <o:colormenu v:ext="edit" fillcolor="#e28c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6"/>
    <w:rsid w:val="00014541"/>
    <w:rsid w:val="00016C4B"/>
    <w:rsid w:val="00064A0D"/>
    <w:rsid w:val="00065940"/>
    <w:rsid w:val="00076B19"/>
    <w:rsid w:val="00083C0F"/>
    <w:rsid w:val="000929ED"/>
    <w:rsid w:val="00096260"/>
    <w:rsid w:val="000B4009"/>
    <w:rsid w:val="000B7F84"/>
    <w:rsid w:val="000C128D"/>
    <w:rsid w:val="000C5B44"/>
    <w:rsid w:val="000E0533"/>
    <w:rsid w:val="00110994"/>
    <w:rsid w:val="00153281"/>
    <w:rsid w:val="001850FA"/>
    <w:rsid w:val="001A7AB9"/>
    <w:rsid w:val="001B420E"/>
    <w:rsid w:val="001C0103"/>
    <w:rsid w:val="001C39B7"/>
    <w:rsid w:val="001D1574"/>
    <w:rsid w:val="001F751E"/>
    <w:rsid w:val="00212041"/>
    <w:rsid w:val="0022280F"/>
    <w:rsid w:val="0022604F"/>
    <w:rsid w:val="002364A7"/>
    <w:rsid w:val="00236DF9"/>
    <w:rsid w:val="00254CB4"/>
    <w:rsid w:val="0026159E"/>
    <w:rsid w:val="002727BA"/>
    <w:rsid w:val="002A2CD0"/>
    <w:rsid w:val="002A48F4"/>
    <w:rsid w:val="002B3877"/>
    <w:rsid w:val="002D1DAC"/>
    <w:rsid w:val="002D2C98"/>
    <w:rsid w:val="002E03A1"/>
    <w:rsid w:val="002E2A69"/>
    <w:rsid w:val="00312864"/>
    <w:rsid w:val="003134F5"/>
    <w:rsid w:val="00313D90"/>
    <w:rsid w:val="00331FE8"/>
    <w:rsid w:val="0033473E"/>
    <w:rsid w:val="00340627"/>
    <w:rsid w:val="003841AE"/>
    <w:rsid w:val="0039504A"/>
    <w:rsid w:val="003A5973"/>
    <w:rsid w:val="003C1F3E"/>
    <w:rsid w:val="003D5577"/>
    <w:rsid w:val="003D795E"/>
    <w:rsid w:val="00421981"/>
    <w:rsid w:val="004252F9"/>
    <w:rsid w:val="00442C38"/>
    <w:rsid w:val="004850E4"/>
    <w:rsid w:val="004B77B7"/>
    <w:rsid w:val="004C2CF0"/>
    <w:rsid w:val="004F07C6"/>
    <w:rsid w:val="004F6026"/>
    <w:rsid w:val="0050241F"/>
    <w:rsid w:val="0054386D"/>
    <w:rsid w:val="0054713F"/>
    <w:rsid w:val="00551BC8"/>
    <w:rsid w:val="0056228F"/>
    <w:rsid w:val="00574C28"/>
    <w:rsid w:val="00596470"/>
    <w:rsid w:val="005B3EA0"/>
    <w:rsid w:val="005C0802"/>
    <w:rsid w:val="005C4A8B"/>
    <w:rsid w:val="005D2D1A"/>
    <w:rsid w:val="005D7281"/>
    <w:rsid w:val="005E654E"/>
    <w:rsid w:val="00605464"/>
    <w:rsid w:val="006405E9"/>
    <w:rsid w:val="00670E2B"/>
    <w:rsid w:val="00691FB9"/>
    <w:rsid w:val="006A444E"/>
    <w:rsid w:val="006B4FA8"/>
    <w:rsid w:val="006D4EF0"/>
    <w:rsid w:val="006E60BD"/>
    <w:rsid w:val="006F0973"/>
    <w:rsid w:val="006F6382"/>
    <w:rsid w:val="00723C1C"/>
    <w:rsid w:val="00735295"/>
    <w:rsid w:val="0075100E"/>
    <w:rsid w:val="007547B9"/>
    <w:rsid w:val="00770ED3"/>
    <w:rsid w:val="00782F9F"/>
    <w:rsid w:val="00791C95"/>
    <w:rsid w:val="007B25FF"/>
    <w:rsid w:val="007B5456"/>
    <w:rsid w:val="007C6CEE"/>
    <w:rsid w:val="007D5BAF"/>
    <w:rsid w:val="007F1517"/>
    <w:rsid w:val="00812C9F"/>
    <w:rsid w:val="008135BD"/>
    <w:rsid w:val="00827D4A"/>
    <w:rsid w:val="00845330"/>
    <w:rsid w:val="00874D25"/>
    <w:rsid w:val="00883B06"/>
    <w:rsid w:val="008872FC"/>
    <w:rsid w:val="008964C4"/>
    <w:rsid w:val="008A0D62"/>
    <w:rsid w:val="008A5C04"/>
    <w:rsid w:val="008A714B"/>
    <w:rsid w:val="008B0179"/>
    <w:rsid w:val="008B6E19"/>
    <w:rsid w:val="008C1116"/>
    <w:rsid w:val="008C2AB5"/>
    <w:rsid w:val="008D7C4D"/>
    <w:rsid w:val="008E1720"/>
    <w:rsid w:val="008F7B5D"/>
    <w:rsid w:val="009172DC"/>
    <w:rsid w:val="0092658B"/>
    <w:rsid w:val="0093210D"/>
    <w:rsid w:val="00942127"/>
    <w:rsid w:val="00945EFD"/>
    <w:rsid w:val="00954F78"/>
    <w:rsid w:val="00967A72"/>
    <w:rsid w:val="00972EC7"/>
    <w:rsid w:val="00984037"/>
    <w:rsid w:val="009912DB"/>
    <w:rsid w:val="009A09C6"/>
    <w:rsid w:val="009B3755"/>
    <w:rsid w:val="009C5084"/>
    <w:rsid w:val="009C51F7"/>
    <w:rsid w:val="009C5CCA"/>
    <w:rsid w:val="009C6376"/>
    <w:rsid w:val="009D6D25"/>
    <w:rsid w:val="009F3EE1"/>
    <w:rsid w:val="009F5FB8"/>
    <w:rsid w:val="00A31F6F"/>
    <w:rsid w:val="00A33484"/>
    <w:rsid w:val="00A524ED"/>
    <w:rsid w:val="00A55091"/>
    <w:rsid w:val="00AB2EA9"/>
    <w:rsid w:val="00AD3ADE"/>
    <w:rsid w:val="00AD5B50"/>
    <w:rsid w:val="00AD69C2"/>
    <w:rsid w:val="00AE12EB"/>
    <w:rsid w:val="00AF4AEA"/>
    <w:rsid w:val="00B013B9"/>
    <w:rsid w:val="00B4690F"/>
    <w:rsid w:val="00B71706"/>
    <w:rsid w:val="00B9416C"/>
    <w:rsid w:val="00B945A2"/>
    <w:rsid w:val="00BA4C97"/>
    <w:rsid w:val="00BB28E5"/>
    <w:rsid w:val="00BD4681"/>
    <w:rsid w:val="00BE179C"/>
    <w:rsid w:val="00BF721F"/>
    <w:rsid w:val="00C54E23"/>
    <w:rsid w:val="00C66509"/>
    <w:rsid w:val="00CA377B"/>
    <w:rsid w:val="00CA6F8D"/>
    <w:rsid w:val="00CB27CB"/>
    <w:rsid w:val="00CB2836"/>
    <w:rsid w:val="00CB3072"/>
    <w:rsid w:val="00CB7BC5"/>
    <w:rsid w:val="00CC08D1"/>
    <w:rsid w:val="00CC5636"/>
    <w:rsid w:val="00CF22B7"/>
    <w:rsid w:val="00D13974"/>
    <w:rsid w:val="00D15A3A"/>
    <w:rsid w:val="00D27A48"/>
    <w:rsid w:val="00D37856"/>
    <w:rsid w:val="00D454CC"/>
    <w:rsid w:val="00D609BB"/>
    <w:rsid w:val="00D612D1"/>
    <w:rsid w:val="00D718A5"/>
    <w:rsid w:val="00D818D3"/>
    <w:rsid w:val="00D96CCA"/>
    <w:rsid w:val="00DC230A"/>
    <w:rsid w:val="00DD4230"/>
    <w:rsid w:val="00DD64DC"/>
    <w:rsid w:val="00DF2EC8"/>
    <w:rsid w:val="00E019BE"/>
    <w:rsid w:val="00E06189"/>
    <w:rsid w:val="00E14B71"/>
    <w:rsid w:val="00E155F8"/>
    <w:rsid w:val="00E32D47"/>
    <w:rsid w:val="00E3444D"/>
    <w:rsid w:val="00E52BA4"/>
    <w:rsid w:val="00E77BDE"/>
    <w:rsid w:val="00EA48D0"/>
    <w:rsid w:val="00ED009C"/>
    <w:rsid w:val="00EF5CB9"/>
    <w:rsid w:val="00F1711D"/>
    <w:rsid w:val="00F30859"/>
    <w:rsid w:val="00F4052B"/>
    <w:rsid w:val="00F625D6"/>
    <w:rsid w:val="00F66926"/>
    <w:rsid w:val="00F76F6C"/>
    <w:rsid w:val="00FA4279"/>
    <w:rsid w:val="00FB0AC7"/>
    <w:rsid w:val="00FB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1" style="mso-position-horizontal:center;mso-width-relative:margin;mso-height-relative:margin" fillcolor="none [3215]" stroke="f">
      <v:fill color="none [3215]"/>
      <v:stroke on="f"/>
      <v:textbox inset="19.1mm,5.4mm"/>
      <o:colormru v:ext="edit" colors="#e28c05"/>
      <o:colormenu v:ext="edit" fillcolor="#e28c05"/>
    </o:shapedefaults>
    <o:shapelayout v:ext="edit">
      <o:idmap v:ext="edit" data="1"/>
    </o:shapelayout>
  </w:shapeDefaults>
  <w:decimalSymbol w:val="."/>
  <w:listSeparator w:val=","/>
  <w15:docId w15:val="{F8DB2F9D-A3B4-4B21-AA6C-B5998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C6"/>
    <w:rPr>
      <w:rFonts w:ascii="Calibri" w:eastAsia="Calibri" w:hAnsi="Calibri" w:cs="Times New Roman"/>
    </w:rPr>
  </w:style>
  <w:style w:type="paragraph" w:styleId="Heading2">
    <w:name w:val="heading 2"/>
    <w:basedOn w:val="Normal"/>
    <w:next w:val="Normal"/>
    <w:link w:val="Heading2Char"/>
    <w:unhideWhenUsed/>
    <w:qFormat/>
    <w:rsid w:val="00312864"/>
    <w:pPr>
      <w:pBdr>
        <w:bottom w:val="single" w:sz="18" w:space="1" w:color="E87E26"/>
      </w:pBdr>
      <w:outlineLvl w:val="1"/>
    </w:pPr>
    <w:rPr>
      <w:rFonts w:ascii="Arial" w:eastAsiaTheme="minorHAnsi" w:hAnsi="Arial" w:cs="Arial"/>
      <w:b/>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basedOn w:val="TableNormal"/>
    <w:uiPriority w:val="59"/>
    <w:rsid w:val="004F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9"/>
    <w:rsid w:val="00312864"/>
    <w:rPr>
      <w:rFonts w:ascii="Arial" w:hAnsi="Arial" w:cs="Arial"/>
      <w:b/>
      <w:sz w:val="28"/>
      <w:szCs w:val="28"/>
      <w:lang w:bidi="en-US"/>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semiHidden/>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rsid w:val="00812C9F"/>
    <w:rPr>
      <w:rFonts w:ascii="Arial" w:hAnsi="Arial" w:cs="Arial"/>
      <w:sz w:val="20"/>
      <w:szCs w:val="20"/>
      <w:lang w:bidi="en-US"/>
    </w:rPr>
  </w:style>
  <w:style w:type="paragraph" w:customStyle="1" w:styleId="Contactdetails">
    <w:name w:val="Contact details"/>
    <w:basedOn w:val="Normal"/>
    <w:link w:val="ContactdetailsChar"/>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rsid w:val="00B4690F"/>
    <w:rPr>
      <w:rFonts w:ascii="Arial" w:hAnsi="Arial" w:cs="Arial"/>
      <w:color w:val="808080"/>
      <w:sz w:val="24"/>
      <w:szCs w:val="28"/>
      <w:lang w:bidi="en-US"/>
    </w:rPr>
  </w:style>
  <w:style w:type="paragraph" w:customStyle="1" w:styleId="Policy-MainBody">
    <w:name w:val="Policy - Main Body"/>
    <w:basedOn w:val="ListParagraph"/>
    <w:link w:val="Policy-MainBodyChar"/>
    <w:qFormat/>
    <w:rsid w:val="009B3755"/>
    <w:pPr>
      <w:spacing w:after="120" w:line="240" w:lineRule="auto"/>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Policy-MainBodyChar">
    <w:name w:val="Policy - Main Body Char"/>
    <w:basedOn w:val="ListParagraphChar"/>
    <w:link w:val="Policy-MainBody"/>
    <w:rsid w:val="009B3755"/>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7B25FF"/>
    <w:rPr>
      <w:sz w:val="16"/>
      <w:szCs w:val="16"/>
    </w:rPr>
  </w:style>
  <w:style w:type="paragraph" w:styleId="CommentSubject">
    <w:name w:val="annotation subject"/>
    <w:basedOn w:val="CommentText"/>
    <w:next w:val="CommentText"/>
    <w:link w:val="CommentSubjectChar"/>
    <w:uiPriority w:val="99"/>
    <w:semiHidden/>
    <w:unhideWhenUsed/>
    <w:rsid w:val="007B25FF"/>
    <w:rPr>
      <w:rFonts w:ascii="Calibri" w:eastAsia="Calibri" w:hAnsi="Calibri" w:cs="Times New Roman"/>
      <w:b/>
      <w:bCs/>
      <w:lang w:bidi="ar-SA"/>
    </w:rPr>
  </w:style>
  <w:style w:type="character" w:customStyle="1" w:styleId="CommentSubjectChar">
    <w:name w:val="Comment Subject Char"/>
    <w:basedOn w:val="CommentTextChar"/>
    <w:link w:val="CommentSubject"/>
    <w:uiPriority w:val="99"/>
    <w:semiHidden/>
    <w:rsid w:val="007B25FF"/>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7B71127AF46818772CF39C53E133E"/>
        <w:category>
          <w:name w:val="General"/>
          <w:gallery w:val="placeholder"/>
        </w:category>
        <w:types>
          <w:type w:val="bbPlcHdr"/>
        </w:types>
        <w:behaviors>
          <w:behavior w:val="content"/>
        </w:behaviors>
        <w:guid w:val="{90161A32-BE8E-4842-881E-C34A1FDC9B11}"/>
      </w:docPartPr>
      <w:docPartBody>
        <w:p w:rsidR="00C92E8C" w:rsidRDefault="00EC269E" w:rsidP="00EC269E">
          <w:pPr>
            <w:pStyle w:val="8F27B71127AF46818772CF39C53E133E"/>
          </w:pPr>
          <w:r w:rsidRPr="003B7A20">
            <w:rPr>
              <w:rStyle w:val="PlaceholderText"/>
              <w:sz w:val="40"/>
              <w:szCs w:val="40"/>
            </w:rPr>
            <w:t>Click here to enter text.</w:t>
          </w:r>
        </w:p>
      </w:docPartBody>
    </w:docPart>
    <w:docPart>
      <w:docPartPr>
        <w:name w:val="378AF62B3F36492EAF43E9C19D947568"/>
        <w:category>
          <w:name w:val="General"/>
          <w:gallery w:val="placeholder"/>
        </w:category>
        <w:types>
          <w:type w:val="bbPlcHdr"/>
        </w:types>
        <w:behaviors>
          <w:behavior w:val="content"/>
        </w:behaviors>
        <w:guid w:val="{FCC5DC69-39E6-456C-9082-678114C96254}"/>
      </w:docPartPr>
      <w:docPartBody>
        <w:p w:rsidR="00C92E8C" w:rsidRDefault="00EC269E" w:rsidP="00EC269E">
          <w:pPr>
            <w:pStyle w:val="378AF62B3F36492EAF43E9C19D947568"/>
          </w:pPr>
          <w:r w:rsidRPr="00045B9A">
            <w:rPr>
              <w:rStyle w:val="PlaceholderText"/>
            </w:rPr>
            <w:t>Click here to enter a date.</w:t>
          </w:r>
        </w:p>
      </w:docPartBody>
    </w:docPart>
    <w:docPart>
      <w:docPartPr>
        <w:name w:val="CD33A7EFF53A428AAE686ADB60F9FBEE"/>
        <w:category>
          <w:name w:val="General"/>
          <w:gallery w:val="placeholder"/>
        </w:category>
        <w:types>
          <w:type w:val="bbPlcHdr"/>
        </w:types>
        <w:behaviors>
          <w:behavior w:val="content"/>
        </w:behaviors>
        <w:guid w:val="{2A09DDB0-DEB0-486A-AF51-F29866464E05}"/>
      </w:docPartPr>
      <w:docPartBody>
        <w:p w:rsidR="00C92E8C" w:rsidRDefault="00EC269E" w:rsidP="00EC269E">
          <w:pPr>
            <w:pStyle w:val="CD33A7EFF53A428AAE686ADB60F9FBEE"/>
          </w:pPr>
          <w:r w:rsidRPr="00045B9A">
            <w:rPr>
              <w:rStyle w:val="PlaceholderText"/>
            </w:rPr>
            <w:t>Click here to enter a date.</w:t>
          </w:r>
        </w:p>
      </w:docPartBody>
    </w:docPart>
    <w:docPart>
      <w:docPartPr>
        <w:name w:val="7D239FA9BB494EA089D050FB8890909D"/>
        <w:category>
          <w:name w:val="General"/>
          <w:gallery w:val="placeholder"/>
        </w:category>
        <w:types>
          <w:type w:val="bbPlcHdr"/>
        </w:types>
        <w:behaviors>
          <w:behavior w:val="content"/>
        </w:behaviors>
        <w:guid w:val="{6CEA12A6-3C3F-4F4E-AA30-6F54BBFE0F9E}"/>
      </w:docPartPr>
      <w:docPartBody>
        <w:p w:rsidR="00C92E8C" w:rsidRDefault="00EC269E" w:rsidP="00EC269E">
          <w:pPr>
            <w:pStyle w:val="7D239FA9BB494EA089D050FB8890909D"/>
          </w:pPr>
          <w:r w:rsidRPr="00045B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69E"/>
    <w:rsid w:val="00063039"/>
    <w:rsid w:val="00071631"/>
    <w:rsid w:val="001D3D45"/>
    <w:rsid w:val="00204CA2"/>
    <w:rsid w:val="00244DB2"/>
    <w:rsid w:val="0028791B"/>
    <w:rsid w:val="00297B10"/>
    <w:rsid w:val="00385130"/>
    <w:rsid w:val="004D4CB0"/>
    <w:rsid w:val="004E5152"/>
    <w:rsid w:val="005C2BF0"/>
    <w:rsid w:val="007A1044"/>
    <w:rsid w:val="007C2C12"/>
    <w:rsid w:val="00844FEC"/>
    <w:rsid w:val="009B2E8F"/>
    <w:rsid w:val="00A72D5B"/>
    <w:rsid w:val="00B371C4"/>
    <w:rsid w:val="00B54DDD"/>
    <w:rsid w:val="00C23781"/>
    <w:rsid w:val="00C73DA9"/>
    <w:rsid w:val="00C92E8C"/>
    <w:rsid w:val="00CE5FE2"/>
    <w:rsid w:val="00D95CAF"/>
    <w:rsid w:val="00E35826"/>
    <w:rsid w:val="00EC269E"/>
    <w:rsid w:val="00ED3A81"/>
    <w:rsid w:val="00F57E3A"/>
    <w:rsid w:val="00FE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69E"/>
    <w:rPr>
      <w:color w:val="808080"/>
    </w:rPr>
  </w:style>
  <w:style w:type="paragraph" w:customStyle="1" w:styleId="8EEC2BC8DA6D4B56807C92CF7583C739">
    <w:name w:val="8EEC2BC8DA6D4B56807C92CF7583C739"/>
    <w:rsid w:val="00EC269E"/>
  </w:style>
  <w:style w:type="paragraph" w:customStyle="1" w:styleId="1BC03AB35A0E4F2286DC384861836682">
    <w:name w:val="1BC03AB35A0E4F2286DC384861836682"/>
    <w:rsid w:val="00EC269E"/>
  </w:style>
  <w:style w:type="paragraph" w:customStyle="1" w:styleId="8F27B71127AF46818772CF39C53E133E">
    <w:name w:val="8F27B71127AF46818772CF39C53E133E"/>
    <w:rsid w:val="00EC269E"/>
  </w:style>
  <w:style w:type="paragraph" w:customStyle="1" w:styleId="1CA37DAD74AC4E18A0AF76BBD4487E9B">
    <w:name w:val="1CA37DAD74AC4E18A0AF76BBD4487E9B"/>
    <w:rsid w:val="00EC269E"/>
  </w:style>
  <w:style w:type="paragraph" w:customStyle="1" w:styleId="378AF62B3F36492EAF43E9C19D947568">
    <w:name w:val="378AF62B3F36492EAF43E9C19D947568"/>
    <w:rsid w:val="00EC269E"/>
  </w:style>
  <w:style w:type="paragraph" w:customStyle="1" w:styleId="FC4263A4B10A4B91B520B968A6C8497E">
    <w:name w:val="FC4263A4B10A4B91B520B968A6C8497E"/>
    <w:rsid w:val="00EC269E"/>
  </w:style>
  <w:style w:type="paragraph" w:customStyle="1" w:styleId="B14C8C1A9F7F478DB6A1BB99DBF2204A">
    <w:name w:val="B14C8C1A9F7F478DB6A1BB99DBF2204A"/>
    <w:rsid w:val="00EC269E"/>
  </w:style>
  <w:style w:type="paragraph" w:customStyle="1" w:styleId="CF5C2DBD43624D50883C270ABA682B48">
    <w:name w:val="CF5C2DBD43624D50883C270ABA682B48"/>
    <w:rsid w:val="00EC269E"/>
  </w:style>
  <w:style w:type="paragraph" w:customStyle="1" w:styleId="80B2E766143B4D9E92EA8308D8B30FA1">
    <w:name w:val="80B2E766143B4D9E92EA8308D8B30FA1"/>
    <w:rsid w:val="00EC269E"/>
  </w:style>
  <w:style w:type="paragraph" w:customStyle="1" w:styleId="CD33A7EFF53A428AAE686ADB60F9FBEE">
    <w:name w:val="CD33A7EFF53A428AAE686ADB60F9FBEE"/>
    <w:rsid w:val="00EC269E"/>
  </w:style>
  <w:style w:type="paragraph" w:customStyle="1" w:styleId="7D239FA9BB494EA089D050FB8890909D">
    <w:name w:val="7D239FA9BB494EA089D050FB8890909D"/>
    <w:rsid w:val="00EC269E"/>
  </w:style>
  <w:style w:type="paragraph" w:customStyle="1" w:styleId="D9242D539BDF4C3983AB22A8CCCFC342">
    <w:name w:val="D9242D539BDF4C3983AB22A8CCCFC342"/>
    <w:rsid w:val="00071631"/>
  </w:style>
  <w:style w:type="paragraph" w:customStyle="1" w:styleId="A199FC542ECB44809304257FDC957AD0">
    <w:name w:val="A199FC542ECB44809304257FDC957AD0"/>
    <w:rsid w:val="00071631"/>
  </w:style>
  <w:style w:type="paragraph" w:customStyle="1" w:styleId="07ECA0EEDA794F2BA5EE67670C628695">
    <w:name w:val="07ECA0EEDA794F2BA5EE67670C628695"/>
    <w:rsid w:val="00071631"/>
  </w:style>
  <w:style w:type="paragraph" w:customStyle="1" w:styleId="CFE7E4EE21A3419EB2F6F1F9CFDBACAF">
    <w:name w:val="CFE7E4EE21A3419EB2F6F1F9CFDBACAF"/>
    <w:rsid w:val="00071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B2F5451EF304EA314B31E833A6D47" ma:contentTypeVersion="0" ma:contentTypeDescription="Create a new document." ma:contentTypeScope="" ma:versionID="b7182e21b10a599543bd1f854fd6d0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199D8-EE47-438C-B7A0-09538469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AEE4F6-E34C-4760-8CC2-541D455EE10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623F9C0-AA26-4630-A2A5-568E5A27A0CC}">
  <ds:schemaRefs>
    <ds:schemaRef ds:uri="http://schemas.microsoft.com/sharepoint/v3/contenttype/forms"/>
  </ds:schemaRefs>
</ds:datastoreItem>
</file>

<file path=customXml/itemProps4.xml><?xml version="1.0" encoding="utf-8"?>
<ds:datastoreItem xmlns:ds="http://schemas.openxmlformats.org/officeDocument/2006/customXml" ds:itemID="{47FCA54D-F65F-4BA2-9F89-CB5D37A4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NHSL Guideline Template</vt:lpstr>
    </vt:vector>
  </TitlesOfParts>
  <Company>NHS Lothian</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NHSL Guideline Template</dc:title>
  <dc:creator>Emma Cochrane</dc:creator>
  <cp:lastModifiedBy>Burke, Karen</cp:lastModifiedBy>
  <cp:revision>5</cp:revision>
  <cp:lastPrinted>2018-04-25T11:45:00Z</cp:lastPrinted>
  <dcterms:created xsi:type="dcterms:W3CDTF">2021-10-06T14:29:00Z</dcterms:created>
  <dcterms:modified xsi:type="dcterms:W3CDTF">2021-10-06T14:36:00Z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0x010100BA7B2F5451EF304EA314B31E833A6D47</vt:lpwstr>
  </property>
</Properties>
</file>